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FF2" w:rsidRPr="00875FF2" w:rsidRDefault="00875FF2" w:rsidP="00D83B07">
      <w:pPr>
        <w:snapToGrid w:val="0"/>
        <w:spacing w:beforeLines="50" w:afterLines="50"/>
        <w:jc w:val="center"/>
        <w:rPr>
          <w:rFonts w:asciiTheme="minorEastAsia" w:eastAsiaTheme="minorEastAsia" w:hAnsiTheme="minorEastAsia"/>
          <w:spacing w:val="-4"/>
          <w:sz w:val="24"/>
          <w:szCs w:val="21"/>
        </w:rPr>
      </w:pPr>
      <w:r w:rsidRPr="00875FF2">
        <w:rPr>
          <w:rFonts w:asciiTheme="minorEastAsia" w:eastAsiaTheme="minorEastAsia" w:hAnsiTheme="minorEastAsia" w:hint="eastAsia"/>
          <w:spacing w:val="-4"/>
          <w:sz w:val="24"/>
          <w:szCs w:val="21"/>
        </w:rPr>
        <w:t>正确理解法律法规要求保证遵纪守法的实现案例</w:t>
      </w:r>
    </w:p>
    <w:p w:rsidR="00875FF2" w:rsidRDefault="00875FF2" w:rsidP="00D83B07">
      <w:pPr>
        <w:snapToGrid w:val="0"/>
        <w:spacing w:beforeLines="50" w:afterLines="50"/>
        <w:jc w:val="center"/>
        <w:rPr>
          <w:rFonts w:asciiTheme="minorEastAsia" w:eastAsiaTheme="minorEastAsia" w:hAnsiTheme="minorEastAsia" w:hint="eastAsia"/>
          <w:sz w:val="24"/>
        </w:rPr>
      </w:pPr>
      <w:r w:rsidRPr="00875FF2">
        <w:rPr>
          <w:rFonts w:asciiTheme="minorEastAsia" w:eastAsiaTheme="minorEastAsia" w:hAnsiTheme="minorEastAsia" w:hint="eastAsia"/>
          <w:sz w:val="24"/>
        </w:rPr>
        <w:t>倪红兵</w:t>
      </w:r>
    </w:p>
    <w:p w:rsidR="000145DB" w:rsidRPr="00875FF2" w:rsidRDefault="000145DB" w:rsidP="00D83B07">
      <w:pPr>
        <w:snapToGrid w:val="0"/>
        <w:spacing w:beforeLines="50" w:afterLines="50"/>
        <w:jc w:val="center"/>
        <w:rPr>
          <w:rFonts w:asciiTheme="minorEastAsia" w:eastAsiaTheme="minorEastAsia" w:hAnsiTheme="minorEastAsia"/>
          <w:spacing w:val="-4"/>
          <w:sz w:val="24"/>
          <w:szCs w:val="21"/>
        </w:rPr>
      </w:pPr>
    </w:p>
    <w:p w:rsidR="00D83B07" w:rsidRPr="00D83B07" w:rsidRDefault="00D83B07" w:rsidP="00D83B07">
      <w:pPr>
        <w:snapToGrid w:val="0"/>
        <w:spacing w:beforeLines="50" w:afterLines="50"/>
        <w:ind w:firstLineChars="200" w:firstLine="420"/>
        <w:rPr>
          <w:rFonts w:hint="eastAsia"/>
          <w:lang w:val="en-GB"/>
        </w:rPr>
      </w:pPr>
      <w:r w:rsidRPr="00D83B07">
        <w:rPr>
          <w:rFonts w:hint="eastAsia"/>
          <w:lang w:val="en-GB"/>
        </w:rPr>
        <w:t>无论是实施</w:t>
      </w:r>
      <w:r w:rsidRPr="00D83B07">
        <w:rPr>
          <w:rFonts w:hint="eastAsia"/>
          <w:lang w:val="en-GB"/>
        </w:rPr>
        <w:t>GB/T19001</w:t>
      </w:r>
      <w:r w:rsidRPr="00D83B07">
        <w:rPr>
          <w:rFonts w:hint="eastAsia"/>
          <w:lang w:val="en-GB"/>
        </w:rPr>
        <w:t>质量管理体系、</w:t>
      </w:r>
      <w:r w:rsidRPr="00D83B07">
        <w:rPr>
          <w:rFonts w:hint="eastAsia"/>
          <w:lang w:val="en-GB"/>
        </w:rPr>
        <w:t>GB/T24001</w:t>
      </w:r>
      <w:r w:rsidRPr="00D83B07">
        <w:rPr>
          <w:rFonts w:hint="eastAsia"/>
          <w:lang w:val="en-GB"/>
        </w:rPr>
        <w:t>环境管理体系还是</w:t>
      </w:r>
      <w:r w:rsidRPr="00D83B07">
        <w:rPr>
          <w:rFonts w:hint="eastAsia"/>
          <w:lang w:val="en-GB"/>
        </w:rPr>
        <w:t>GB/T28001</w:t>
      </w:r>
      <w:r w:rsidRPr="00D83B07">
        <w:rPr>
          <w:rFonts w:hint="eastAsia"/>
          <w:lang w:val="en-GB"/>
        </w:rPr>
        <w:t>职业健康安全管理体系，都要求企业做到遵纪守法、守法经营、满足顾客和相关方的合理合法要求，遵纪守法的前提就是要充分了解与自身生产经营相关的法律法规和其他要求，将法律法规和其他要求融入自身的工作中实施管理，才是保证遵纪守法的基础。</w:t>
      </w:r>
    </w:p>
    <w:p w:rsidR="00D83B07" w:rsidRPr="00D83B07" w:rsidRDefault="00D83B07" w:rsidP="00D83B07">
      <w:pPr>
        <w:snapToGrid w:val="0"/>
        <w:spacing w:beforeLines="50" w:afterLines="50"/>
        <w:ind w:firstLineChars="200" w:firstLine="420"/>
        <w:rPr>
          <w:lang w:val="en-GB"/>
        </w:rPr>
      </w:pPr>
    </w:p>
    <w:p w:rsidR="00D83B07" w:rsidRPr="00D83B07" w:rsidRDefault="00D83B07" w:rsidP="00D83B07">
      <w:pPr>
        <w:snapToGrid w:val="0"/>
        <w:spacing w:beforeLines="50" w:afterLines="50"/>
        <w:ind w:firstLineChars="200" w:firstLine="422"/>
        <w:rPr>
          <w:rFonts w:hint="eastAsia"/>
          <w:b/>
          <w:lang w:val="en-GB"/>
        </w:rPr>
      </w:pPr>
      <w:r w:rsidRPr="00D83B07">
        <w:rPr>
          <w:rFonts w:hint="eastAsia"/>
          <w:b/>
          <w:lang w:val="en-GB"/>
        </w:rPr>
        <w:t>案例一</w:t>
      </w:r>
      <w:r w:rsidRPr="00D83B07">
        <w:rPr>
          <w:rFonts w:hint="eastAsia"/>
          <w:b/>
          <w:lang w:val="en-GB"/>
        </w:rPr>
        <w:t>.</w:t>
      </w:r>
      <w:r w:rsidRPr="00D83B07">
        <w:rPr>
          <w:rFonts w:hint="eastAsia"/>
          <w:b/>
          <w:lang w:val="en-GB"/>
        </w:rPr>
        <w:t>《</w:t>
      </w:r>
      <w:r w:rsidRPr="00D83B07">
        <w:rPr>
          <w:rFonts w:hint="eastAsia"/>
          <w:b/>
          <w:lang w:val="en-GB"/>
        </w:rPr>
        <w:t xml:space="preserve">GB/T3486-1993 </w:t>
      </w:r>
      <w:r w:rsidRPr="00D83B07">
        <w:rPr>
          <w:rFonts w:hint="eastAsia"/>
          <w:b/>
          <w:lang w:val="en-GB"/>
        </w:rPr>
        <w:t>评价企业合理用热技术导则》</w:t>
      </w:r>
    </w:p>
    <w:p w:rsidR="00D83B07" w:rsidRPr="00D83B07" w:rsidRDefault="00D83B07" w:rsidP="00D83B07">
      <w:pPr>
        <w:snapToGrid w:val="0"/>
        <w:spacing w:beforeLines="50" w:afterLines="50"/>
        <w:ind w:firstLineChars="200" w:firstLine="420"/>
        <w:rPr>
          <w:rFonts w:hint="eastAsia"/>
          <w:lang w:val="en-GB"/>
        </w:rPr>
      </w:pPr>
      <w:r w:rsidRPr="00D83B07">
        <w:rPr>
          <w:rFonts w:hint="eastAsia"/>
          <w:lang w:val="en-GB"/>
        </w:rPr>
        <w:t>《</w:t>
      </w:r>
      <w:r w:rsidRPr="00D83B07">
        <w:rPr>
          <w:rFonts w:hint="eastAsia"/>
          <w:lang w:val="en-GB"/>
        </w:rPr>
        <w:t xml:space="preserve">GB/T3486-1993 </w:t>
      </w:r>
      <w:r w:rsidRPr="00D83B07">
        <w:rPr>
          <w:rFonts w:hint="eastAsia"/>
          <w:lang w:val="en-GB"/>
        </w:rPr>
        <w:t>评价企业合理用热技术导则》</w:t>
      </w:r>
      <w:r w:rsidRPr="00D83B07">
        <w:rPr>
          <w:rFonts w:hint="eastAsia"/>
          <w:lang w:val="en-GB"/>
        </w:rPr>
        <w:t>5.1.2</w:t>
      </w:r>
      <w:r w:rsidRPr="00D83B07">
        <w:rPr>
          <w:rFonts w:hint="eastAsia"/>
          <w:lang w:val="en-GB"/>
        </w:rPr>
        <w:t>条款规定了“当环境温度为</w:t>
      </w:r>
      <w:r w:rsidRPr="00D83B07">
        <w:rPr>
          <w:rFonts w:hint="eastAsia"/>
          <w:lang w:val="en-GB"/>
        </w:rPr>
        <w:t>25</w:t>
      </w:r>
      <w:r w:rsidRPr="00D83B07">
        <w:rPr>
          <w:rFonts w:hint="eastAsia"/>
          <w:lang w:val="en-GB"/>
        </w:rPr>
        <w:t>℃时，工业锅炉外壁表面平均温度不得超过</w:t>
      </w:r>
      <w:r w:rsidRPr="00D83B07">
        <w:rPr>
          <w:rFonts w:hint="eastAsia"/>
          <w:lang w:val="en-GB"/>
        </w:rPr>
        <w:t>50</w:t>
      </w:r>
      <w:r w:rsidRPr="00D83B07">
        <w:rPr>
          <w:rFonts w:hint="eastAsia"/>
          <w:lang w:val="en-GB"/>
        </w:rPr>
        <w:t>℃”。</w:t>
      </w:r>
    </w:p>
    <w:p w:rsidR="00D83B07" w:rsidRPr="00D83B07" w:rsidRDefault="00D83B07" w:rsidP="00D83B07">
      <w:pPr>
        <w:snapToGrid w:val="0"/>
        <w:spacing w:beforeLines="50" w:afterLines="50"/>
        <w:ind w:firstLineChars="200" w:firstLine="420"/>
        <w:rPr>
          <w:rFonts w:hint="eastAsia"/>
          <w:lang w:val="en-GB"/>
        </w:rPr>
      </w:pPr>
      <w:r w:rsidRPr="00D83B07">
        <w:rPr>
          <w:rFonts w:hint="eastAsia"/>
          <w:lang w:val="en-GB"/>
        </w:rPr>
        <w:t>某食品加工企业的工业锅炉外壁各部位的表面平均温度达到了</w:t>
      </w:r>
      <w:r w:rsidRPr="00D83B07">
        <w:rPr>
          <w:rFonts w:hint="eastAsia"/>
          <w:lang w:val="en-GB"/>
        </w:rPr>
        <w:t>56</w:t>
      </w:r>
      <w:r w:rsidRPr="00D83B07">
        <w:rPr>
          <w:rFonts w:hint="eastAsia"/>
          <w:lang w:val="en-GB"/>
        </w:rPr>
        <w:t>℃，动力车间负责人认为锅炉尚能正常运行，外壁主要是炉门温度较高，员工操作时也有手套防护防止烫伤，但为考虑能耗是否合理，不符合上述标准的要求，也未考虑缺少比较锅炉保温绩效的定量参考依据（缺少能源基准），不符合</w:t>
      </w:r>
      <w:r w:rsidRPr="00D83B07">
        <w:rPr>
          <w:rFonts w:hint="eastAsia"/>
          <w:lang w:val="en-GB"/>
        </w:rPr>
        <w:t>GB/T23331-2012</w:t>
      </w:r>
      <w:r w:rsidRPr="00D83B07">
        <w:rPr>
          <w:rFonts w:hint="eastAsia"/>
          <w:lang w:val="en-GB"/>
        </w:rPr>
        <w:t>标准“</w:t>
      </w:r>
      <w:r w:rsidRPr="00D83B07">
        <w:rPr>
          <w:rFonts w:hint="eastAsia"/>
          <w:lang w:val="en-GB"/>
        </w:rPr>
        <w:t>4.4.4</w:t>
      </w:r>
      <w:r w:rsidRPr="00D83B07">
        <w:rPr>
          <w:rFonts w:hint="eastAsia"/>
          <w:lang w:val="en-GB"/>
        </w:rPr>
        <w:t>能源基准”条款的相关要求。</w:t>
      </w:r>
    </w:p>
    <w:p w:rsidR="00D83B07" w:rsidRPr="00D83B07" w:rsidRDefault="00D83B07" w:rsidP="00D83B07">
      <w:pPr>
        <w:snapToGrid w:val="0"/>
        <w:spacing w:beforeLines="50" w:afterLines="50"/>
        <w:ind w:firstLineChars="200" w:firstLine="420"/>
        <w:rPr>
          <w:lang w:val="en-GB"/>
        </w:rPr>
      </w:pPr>
    </w:p>
    <w:p w:rsidR="00D83B07" w:rsidRPr="00D83B07" w:rsidRDefault="00D83B07" w:rsidP="00D83B07">
      <w:pPr>
        <w:snapToGrid w:val="0"/>
        <w:spacing w:beforeLines="50" w:afterLines="50"/>
        <w:ind w:firstLineChars="200" w:firstLine="422"/>
        <w:rPr>
          <w:rFonts w:hint="eastAsia"/>
          <w:b/>
          <w:lang w:val="en-GB"/>
        </w:rPr>
      </w:pPr>
      <w:r w:rsidRPr="00D83B07">
        <w:rPr>
          <w:rFonts w:hint="eastAsia"/>
          <w:b/>
          <w:lang w:val="en-GB"/>
        </w:rPr>
        <w:t>案例二</w:t>
      </w:r>
      <w:r w:rsidRPr="00D83B07">
        <w:rPr>
          <w:rFonts w:hint="eastAsia"/>
          <w:b/>
          <w:lang w:val="en-GB"/>
        </w:rPr>
        <w:t>.</w:t>
      </w:r>
      <w:r w:rsidRPr="00D83B07">
        <w:rPr>
          <w:rFonts w:hint="eastAsia"/>
          <w:b/>
          <w:lang w:val="en-GB"/>
        </w:rPr>
        <w:t>《</w:t>
      </w:r>
      <w:r w:rsidRPr="00D83B07">
        <w:rPr>
          <w:rFonts w:hint="eastAsia"/>
          <w:b/>
          <w:lang w:val="en-GB"/>
        </w:rPr>
        <w:t xml:space="preserve">GB/T3486-1993 </w:t>
      </w:r>
      <w:r w:rsidRPr="00D83B07">
        <w:rPr>
          <w:rFonts w:hint="eastAsia"/>
          <w:b/>
          <w:lang w:val="en-GB"/>
        </w:rPr>
        <w:t>评价企业合理用热技术导则》</w:t>
      </w:r>
    </w:p>
    <w:p w:rsidR="00D83B07" w:rsidRPr="00D83B07" w:rsidRDefault="00D83B07" w:rsidP="00D83B07">
      <w:pPr>
        <w:snapToGrid w:val="0"/>
        <w:spacing w:beforeLines="50" w:afterLines="50"/>
        <w:ind w:firstLineChars="200" w:firstLine="420"/>
        <w:rPr>
          <w:rFonts w:hint="eastAsia"/>
          <w:lang w:val="en-GB"/>
        </w:rPr>
      </w:pPr>
      <w:r w:rsidRPr="00D83B07">
        <w:rPr>
          <w:rFonts w:hint="eastAsia"/>
          <w:lang w:val="en-GB"/>
        </w:rPr>
        <w:t>《</w:t>
      </w:r>
      <w:r w:rsidRPr="00D83B07">
        <w:rPr>
          <w:rFonts w:hint="eastAsia"/>
          <w:lang w:val="en-GB"/>
        </w:rPr>
        <w:t xml:space="preserve">GB/T3486-1993 </w:t>
      </w:r>
      <w:r w:rsidRPr="00D83B07">
        <w:rPr>
          <w:rFonts w:hint="eastAsia"/>
          <w:lang w:val="en-GB"/>
        </w:rPr>
        <w:t>评价企业合理用热技术导则》</w:t>
      </w:r>
      <w:r w:rsidRPr="00D83B07">
        <w:rPr>
          <w:rFonts w:hint="eastAsia"/>
          <w:lang w:val="en-GB"/>
        </w:rPr>
        <w:t xml:space="preserve">3.1.3 </w:t>
      </w:r>
      <w:r w:rsidRPr="00D83B07">
        <w:rPr>
          <w:rFonts w:hint="eastAsia"/>
          <w:lang w:val="en-GB"/>
        </w:rPr>
        <w:t>条款规定“采用火苗床燃烧的工业锅炉，实际操作中应采取必要的措施降低排渣含碳量，其排渣含碳量控制数值在附录表</w:t>
      </w:r>
      <w:r w:rsidRPr="00D83B07">
        <w:rPr>
          <w:rFonts w:hint="eastAsia"/>
          <w:lang w:val="en-GB"/>
        </w:rPr>
        <w:t>A3</w:t>
      </w:r>
      <w:r w:rsidRPr="00D83B07">
        <w:rPr>
          <w:rFonts w:hint="eastAsia"/>
          <w:lang w:val="en-GB"/>
        </w:rPr>
        <w:t>中列出”。</w:t>
      </w:r>
    </w:p>
    <w:p w:rsidR="00D83B07" w:rsidRPr="00D83B07" w:rsidRDefault="00D83B07" w:rsidP="00D83B07">
      <w:pPr>
        <w:snapToGrid w:val="0"/>
        <w:spacing w:beforeLines="50" w:afterLines="50"/>
        <w:ind w:firstLineChars="200" w:firstLine="420"/>
        <w:rPr>
          <w:rFonts w:hint="eastAsia"/>
          <w:lang w:val="en-GB"/>
        </w:rPr>
      </w:pPr>
      <w:r w:rsidRPr="00D83B07">
        <w:rPr>
          <w:rFonts w:hint="eastAsia"/>
          <w:lang w:val="en-GB"/>
        </w:rPr>
        <w:t>某万家耗能企业拥有锅炉容量在</w:t>
      </w:r>
      <w:r w:rsidRPr="00D83B07">
        <w:rPr>
          <w:rFonts w:hint="eastAsia"/>
          <w:lang w:val="en-GB"/>
        </w:rPr>
        <w:t>0.6 MW</w:t>
      </w:r>
      <w:r w:rsidRPr="00D83B07">
        <w:rPr>
          <w:rFonts w:hint="eastAsia"/>
          <w:lang w:val="en-GB"/>
        </w:rPr>
        <w:t>～</w:t>
      </w:r>
      <w:r w:rsidRPr="00D83B07">
        <w:rPr>
          <w:rFonts w:hint="eastAsia"/>
          <w:lang w:val="en-GB"/>
        </w:rPr>
        <w:t>5.6MW</w:t>
      </w:r>
      <w:r w:rsidRPr="00D83B07">
        <w:rPr>
          <w:rFonts w:hint="eastAsia"/>
          <w:lang w:val="en-GB"/>
        </w:rPr>
        <w:t>的火床燃烧工业锅炉</w:t>
      </w:r>
      <w:r w:rsidRPr="00D83B07">
        <w:rPr>
          <w:rFonts w:hint="eastAsia"/>
          <w:lang w:val="en-GB"/>
        </w:rPr>
        <w:t>8</w:t>
      </w:r>
      <w:r w:rsidRPr="00D83B07">
        <w:rPr>
          <w:rFonts w:hint="eastAsia"/>
          <w:lang w:val="en-GB"/>
        </w:rPr>
        <w:t>台，未考虑排渣的含碳量要求，锅炉工反映其有</w:t>
      </w:r>
      <w:r w:rsidRPr="00D83B07">
        <w:rPr>
          <w:rFonts w:hint="eastAsia"/>
          <w:lang w:val="en-GB"/>
        </w:rPr>
        <w:t>2</w:t>
      </w:r>
      <w:r w:rsidRPr="00D83B07">
        <w:rPr>
          <w:rFonts w:hint="eastAsia"/>
          <w:lang w:val="en-GB"/>
        </w:rPr>
        <w:t>台老旧锅炉排放的煤渣经常明显存在“黑炭”现象，说明燃烧不充分，企业也无排渣的含碳量检测要求（按《</w:t>
      </w:r>
      <w:r w:rsidRPr="00D83B07">
        <w:rPr>
          <w:rFonts w:hint="eastAsia"/>
          <w:lang w:val="en-GB"/>
        </w:rPr>
        <w:t xml:space="preserve">GB/T3486-1993 </w:t>
      </w:r>
      <w:r w:rsidRPr="00D83B07">
        <w:rPr>
          <w:rFonts w:hint="eastAsia"/>
          <w:lang w:val="en-GB"/>
        </w:rPr>
        <w:t>评价企业合理用热技术导则》规定其使用无烟煤的排渣碳含量应＜</w:t>
      </w:r>
      <w:r w:rsidRPr="00D83B07">
        <w:rPr>
          <w:rFonts w:hint="eastAsia"/>
          <w:lang w:val="en-GB"/>
        </w:rPr>
        <w:t>28%</w:t>
      </w:r>
      <w:r w:rsidRPr="00D83B07">
        <w:rPr>
          <w:rFonts w:hint="eastAsia"/>
          <w:lang w:val="en-GB"/>
        </w:rPr>
        <w:t>），不符合《</w:t>
      </w:r>
      <w:r w:rsidRPr="00D83B07">
        <w:rPr>
          <w:rFonts w:hint="eastAsia"/>
          <w:lang w:val="en-GB"/>
        </w:rPr>
        <w:t xml:space="preserve">GB/T3486-1993 </w:t>
      </w:r>
      <w:r w:rsidRPr="00D83B07">
        <w:rPr>
          <w:rFonts w:hint="eastAsia"/>
          <w:lang w:val="en-GB"/>
        </w:rPr>
        <w:t>评价企业合理用热技术导则》的相关要求，也不符合</w:t>
      </w:r>
      <w:r w:rsidRPr="00D83B07">
        <w:rPr>
          <w:rFonts w:hint="eastAsia"/>
          <w:lang w:val="en-GB"/>
        </w:rPr>
        <w:t>GB/T23331-2012</w:t>
      </w:r>
      <w:r w:rsidRPr="00D83B07">
        <w:rPr>
          <w:rFonts w:hint="eastAsia"/>
          <w:lang w:val="en-GB"/>
        </w:rPr>
        <w:t>标准“</w:t>
      </w:r>
      <w:r w:rsidRPr="00D83B07">
        <w:rPr>
          <w:rFonts w:hint="eastAsia"/>
          <w:lang w:val="en-GB"/>
        </w:rPr>
        <w:t>4.5.5</w:t>
      </w:r>
      <w:r w:rsidRPr="00D83B07">
        <w:rPr>
          <w:rFonts w:hint="eastAsia"/>
          <w:lang w:val="en-GB"/>
        </w:rPr>
        <w:t>运行控制”条款的相关要求。</w:t>
      </w:r>
    </w:p>
    <w:p w:rsidR="00D83B07" w:rsidRPr="00D83B07" w:rsidRDefault="00D83B07" w:rsidP="00D83B07">
      <w:pPr>
        <w:snapToGrid w:val="0"/>
        <w:spacing w:beforeLines="50" w:afterLines="50"/>
        <w:ind w:firstLineChars="200" w:firstLine="420"/>
        <w:rPr>
          <w:lang w:val="en-GB"/>
        </w:rPr>
      </w:pPr>
    </w:p>
    <w:p w:rsidR="00D83B07" w:rsidRPr="00D83B07" w:rsidRDefault="00D83B07" w:rsidP="00D83B07">
      <w:pPr>
        <w:snapToGrid w:val="0"/>
        <w:spacing w:beforeLines="50" w:afterLines="50"/>
        <w:ind w:firstLineChars="200" w:firstLine="422"/>
        <w:rPr>
          <w:rFonts w:hint="eastAsia"/>
          <w:b/>
          <w:lang w:val="en-GB"/>
        </w:rPr>
      </w:pPr>
      <w:r w:rsidRPr="00D83B07">
        <w:rPr>
          <w:rFonts w:hint="eastAsia"/>
          <w:b/>
          <w:lang w:val="en-GB"/>
        </w:rPr>
        <w:t>案例三</w:t>
      </w:r>
      <w:r w:rsidRPr="00D83B07">
        <w:rPr>
          <w:rFonts w:hint="eastAsia"/>
          <w:b/>
          <w:lang w:val="en-GB"/>
        </w:rPr>
        <w:t>.</w:t>
      </w:r>
      <w:r w:rsidRPr="00D83B07">
        <w:rPr>
          <w:rFonts w:hint="eastAsia"/>
          <w:b/>
          <w:lang w:val="en-GB"/>
        </w:rPr>
        <w:t>《</w:t>
      </w:r>
      <w:r w:rsidRPr="00D83B07">
        <w:rPr>
          <w:rFonts w:hint="eastAsia"/>
          <w:b/>
          <w:lang w:val="en-GB"/>
        </w:rPr>
        <w:t xml:space="preserve">GB/T3486-1993 </w:t>
      </w:r>
      <w:r w:rsidRPr="00D83B07">
        <w:rPr>
          <w:rFonts w:hint="eastAsia"/>
          <w:b/>
          <w:lang w:val="en-GB"/>
        </w:rPr>
        <w:t>评价企业合理用热技术导则》</w:t>
      </w:r>
    </w:p>
    <w:p w:rsidR="00D83B07" w:rsidRPr="00D83B07" w:rsidRDefault="00D83B07" w:rsidP="00D83B07">
      <w:pPr>
        <w:snapToGrid w:val="0"/>
        <w:spacing w:beforeLines="50" w:afterLines="50"/>
        <w:ind w:firstLineChars="200" w:firstLine="420"/>
        <w:rPr>
          <w:rFonts w:hint="eastAsia"/>
          <w:lang w:val="en-GB"/>
        </w:rPr>
      </w:pPr>
      <w:r w:rsidRPr="00D83B07">
        <w:rPr>
          <w:rFonts w:hint="eastAsia"/>
          <w:lang w:val="en-GB"/>
        </w:rPr>
        <w:t>《</w:t>
      </w:r>
      <w:r w:rsidRPr="00D83B07">
        <w:rPr>
          <w:rFonts w:hint="eastAsia"/>
          <w:lang w:val="en-GB"/>
        </w:rPr>
        <w:t xml:space="preserve">GB/T3486-1993 </w:t>
      </w:r>
      <w:r w:rsidRPr="00D83B07">
        <w:rPr>
          <w:rFonts w:hint="eastAsia"/>
          <w:lang w:val="en-GB"/>
        </w:rPr>
        <w:t>评价企业合理用热技术导则》</w:t>
      </w:r>
      <w:r w:rsidRPr="00D83B07">
        <w:rPr>
          <w:rFonts w:hint="eastAsia"/>
          <w:lang w:val="en-GB"/>
        </w:rPr>
        <w:t>4.5.6</w:t>
      </w:r>
      <w:r w:rsidRPr="00D83B07">
        <w:rPr>
          <w:rFonts w:hint="eastAsia"/>
          <w:lang w:val="en-GB"/>
        </w:rPr>
        <w:t>规定“对热效率过低或热耗过高的设备，应改进结构、调整操作，必要时及早淘汰更新。对国家有关部门公布的淘汰产品按规定限期淘汰。附录</w:t>
      </w:r>
      <w:r w:rsidRPr="00D83B07">
        <w:rPr>
          <w:rFonts w:hint="eastAsia"/>
          <w:lang w:val="en-GB"/>
        </w:rPr>
        <w:t>A</w:t>
      </w:r>
      <w:r w:rsidRPr="00D83B07">
        <w:rPr>
          <w:rFonts w:hint="eastAsia"/>
          <w:lang w:val="en-GB"/>
        </w:rPr>
        <w:t>表Ａ</w:t>
      </w:r>
      <w:r w:rsidRPr="00D83B07">
        <w:rPr>
          <w:rFonts w:hint="eastAsia"/>
          <w:lang w:val="en-GB"/>
        </w:rPr>
        <w:t>5</w:t>
      </w:r>
      <w:r w:rsidRPr="00D83B07">
        <w:rPr>
          <w:rFonts w:hint="eastAsia"/>
          <w:lang w:val="en-GB"/>
        </w:rPr>
        <w:t>中列出工业锅炉最低热效率指标”、</w:t>
      </w:r>
      <w:r w:rsidRPr="00D83B07">
        <w:rPr>
          <w:rFonts w:hint="eastAsia"/>
          <w:lang w:val="en-GB"/>
        </w:rPr>
        <w:t xml:space="preserve"> </w:t>
      </w:r>
      <w:r w:rsidRPr="00D83B07">
        <w:rPr>
          <w:rFonts w:hint="eastAsia"/>
          <w:lang w:val="en-GB"/>
        </w:rPr>
        <w:t>表</w:t>
      </w:r>
      <w:r w:rsidRPr="00D83B07">
        <w:rPr>
          <w:rFonts w:hint="eastAsia"/>
          <w:lang w:val="en-GB"/>
        </w:rPr>
        <w:t>A5</w:t>
      </w:r>
      <w:r w:rsidRPr="00D83B07">
        <w:rPr>
          <w:rFonts w:hint="eastAsia"/>
          <w:lang w:val="en-GB"/>
        </w:rPr>
        <w:t>工业锅炉最低热效率中规定以满负荷进行燃烧时“＜</w:t>
      </w:r>
      <w:r w:rsidRPr="00D83B07">
        <w:rPr>
          <w:rFonts w:hint="eastAsia"/>
          <w:lang w:val="en-GB"/>
        </w:rPr>
        <w:t>0.35MW</w:t>
      </w:r>
      <w:r w:rsidRPr="00D83B07">
        <w:rPr>
          <w:rFonts w:hint="eastAsia"/>
          <w:lang w:val="en-GB"/>
        </w:rPr>
        <w:t>容量的锅炉的热效率应≥</w:t>
      </w:r>
      <w:r w:rsidRPr="00D83B07">
        <w:rPr>
          <w:rFonts w:hint="eastAsia"/>
          <w:lang w:val="en-GB"/>
        </w:rPr>
        <w:t>58%</w:t>
      </w:r>
      <w:r w:rsidRPr="00D83B07">
        <w:rPr>
          <w:rFonts w:hint="eastAsia"/>
          <w:lang w:val="en-GB"/>
        </w:rPr>
        <w:t>、≥</w:t>
      </w:r>
      <w:r w:rsidRPr="00D83B07">
        <w:rPr>
          <w:rFonts w:hint="eastAsia"/>
          <w:lang w:val="en-GB"/>
        </w:rPr>
        <w:t>0.35</w:t>
      </w:r>
      <w:r w:rsidRPr="00D83B07">
        <w:rPr>
          <w:rFonts w:hint="eastAsia"/>
          <w:lang w:val="en-GB"/>
        </w:rPr>
        <w:t>～</w:t>
      </w:r>
      <w:r w:rsidRPr="00D83B07">
        <w:rPr>
          <w:rFonts w:hint="eastAsia"/>
          <w:lang w:val="en-GB"/>
        </w:rPr>
        <w:t>0.7MW</w:t>
      </w:r>
      <w:r w:rsidRPr="00D83B07">
        <w:rPr>
          <w:rFonts w:hint="eastAsia"/>
          <w:lang w:val="en-GB"/>
        </w:rPr>
        <w:t>容量的锅炉的热效率应≥</w:t>
      </w:r>
      <w:r w:rsidRPr="00D83B07">
        <w:rPr>
          <w:rFonts w:hint="eastAsia"/>
          <w:lang w:val="en-GB"/>
        </w:rPr>
        <w:t>60%</w:t>
      </w:r>
      <w:r w:rsidRPr="00D83B07">
        <w:rPr>
          <w:rFonts w:hint="eastAsia"/>
          <w:lang w:val="en-GB"/>
        </w:rPr>
        <w:t>、＞</w:t>
      </w:r>
      <w:r w:rsidRPr="00D83B07">
        <w:rPr>
          <w:rFonts w:hint="eastAsia"/>
          <w:lang w:val="en-GB"/>
        </w:rPr>
        <w:t>0.7</w:t>
      </w:r>
      <w:r w:rsidRPr="00D83B07">
        <w:rPr>
          <w:rFonts w:hint="eastAsia"/>
          <w:lang w:val="en-GB"/>
        </w:rPr>
        <w:t>～</w:t>
      </w:r>
      <w:r w:rsidRPr="00D83B07">
        <w:rPr>
          <w:rFonts w:hint="eastAsia"/>
          <w:lang w:val="en-GB"/>
        </w:rPr>
        <w:t>2.8MW</w:t>
      </w:r>
      <w:r w:rsidRPr="00D83B07">
        <w:rPr>
          <w:rFonts w:hint="eastAsia"/>
          <w:lang w:val="en-GB"/>
        </w:rPr>
        <w:t>容量的管理的热效率应≥</w:t>
      </w:r>
      <w:r w:rsidRPr="00D83B07">
        <w:rPr>
          <w:rFonts w:hint="eastAsia"/>
          <w:lang w:val="en-GB"/>
        </w:rPr>
        <w:t>65%</w:t>
      </w:r>
      <w:r w:rsidRPr="00D83B07">
        <w:rPr>
          <w:rFonts w:hint="eastAsia"/>
          <w:lang w:val="en-GB"/>
        </w:rPr>
        <w:t>、≥</w:t>
      </w:r>
      <w:r w:rsidRPr="00D83B07">
        <w:rPr>
          <w:rFonts w:hint="eastAsia"/>
          <w:lang w:val="en-GB"/>
        </w:rPr>
        <w:t>2.8</w:t>
      </w:r>
      <w:r w:rsidRPr="00D83B07">
        <w:rPr>
          <w:rFonts w:hint="eastAsia"/>
          <w:lang w:val="en-GB"/>
        </w:rPr>
        <w:t>～</w:t>
      </w:r>
      <w:r w:rsidRPr="00D83B07">
        <w:rPr>
          <w:rFonts w:hint="eastAsia"/>
          <w:lang w:val="en-GB"/>
        </w:rPr>
        <w:t>7MW</w:t>
      </w:r>
      <w:r w:rsidRPr="00D83B07">
        <w:rPr>
          <w:rFonts w:hint="eastAsia"/>
          <w:lang w:val="en-GB"/>
        </w:rPr>
        <w:t>容量的管理的热效率应≥</w:t>
      </w:r>
      <w:r w:rsidRPr="00D83B07">
        <w:rPr>
          <w:rFonts w:hint="eastAsia"/>
          <w:lang w:val="en-GB"/>
        </w:rPr>
        <w:t>70%</w:t>
      </w:r>
      <w:r w:rsidRPr="00D83B07">
        <w:rPr>
          <w:rFonts w:hint="eastAsia"/>
          <w:lang w:val="en-GB"/>
        </w:rPr>
        <w:t>、≥</w:t>
      </w:r>
      <w:r w:rsidRPr="00D83B07">
        <w:rPr>
          <w:rFonts w:hint="eastAsia"/>
          <w:lang w:val="en-GB"/>
        </w:rPr>
        <w:t>7MW</w:t>
      </w:r>
      <w:r w:rsidRPr="00D83B07">
        <w:rPr>
          <w:rFonts w:hint="eastAsia"/>
          <w:lang w:val="en-GB"/>
        </w:rPr>
        <w:t>容量的锅炉的热效率应≥</w:t>
      </w:r>
      <w:r w:rsidRPr="00D83B07">
        <w:rPr>
          <w:rFonts w:hint="eastAsia"/>
          <w:lang w:val="en-GB"/>
        </w:rPr>
        <w:t>74%</w:t>
      </w:r>
      <w:r w:rsidRPr="00D83B07">
        <w:rPr>
          <w:rFonts w:hint="eastAsia"/>
          <w:lang w:val="en-GB"/>
        </w:rPr>
        <w:t>”。</w:t>
      </w:r>
    </w:p>
    <w:p w:rsidR="00D83B07" w:rsidRPr="00D83B07" w:rsidRDefault="00D83B07" w:rsidP="00D83B07">
      <w:pPr>
        <w:snapToGrid w:val="0"/>
        <w:spacing w:beforeLines="50" w:afterLines="50"/>
        <w:ind w:firstLineChars="200" w:firstLine="420"/>
        <w:rPr>
          <w:rFonts w:hint="eastAsia"/>
          <w:lang w:val="en-GB"/>
        </w:rPr>
      </w:pPr>
      <w:r w:rsidRPr="00D83B07">
        <w:rPr>
          <w:rFonts w:hint="eastAsia"/>
          <w:lang w:val="en-GB"/>
        </w:rPr>
        <w:t>案例二所述企业没有关注其锅炉是否属于淘汰产品，同样没有测算其</w:t>
      </w:r>
      <w:r w:rsidRPr="00D83B07">
        <w:rPr>
          <w:rFonts w:hint="eastAsia"/>
          <w:lang w:val="en-GB"/>
        </w:rPr>
        <w:t>8</w:t>
      </w:r>
      <w:r w:rsidRPr="00D83B07">
        <w:rPr>
          <w:rFonts w:hint="eastAsia"/>
          <w:lang w:val="en-GB"/>
        </w:rPr>
        <w:t>台锅炉（油漆是</w:t>
      </w:r>
      <w:r w:rsidRPr="00D83B07">
        <w:rPr>
          <w:rFonts w:hint="eastAsia"/>
          <w:lang w:val="en-GB"/>
        </w:rPr>
        <w:t>2</w:t>
      </w:r>
      <w:r w:rsidRPr="00D83B07">
        <w:rPr>
          <w:rFonts w:hint="eastAsia"/>
          <w:lang w:val="en-GB"/>
        </w:rPr>
        <w:t>台老旧锅炉）的热效率，不符合上述标准要求，也不符合</w:t>
      </w:r>
      <w:r w:rsidRPr="00D83B07">
        <w:rPr>
          <w:rFonts w:hint="eastAsia"/>
          <w:lang w:val="en-GB"/>
        </w:rPr>
        <w:t>GB/T23331-2012</w:t>
      </w:r>
      <w:r w:rsidRPr="00D83B07">
        <w:rPr>
          <w:rFonts w:hint="eastAsia"/>
          <w:lang w:val="en-GB"/>
        </w:rPr>
        <w:t>标准“</w:t>
      </w:r>
      <w:r w:rsidRPr="00D83B07">
        <w:rPr>
          <w:rFonts w:hint="eastAsia"/>
          <w:lang w:val="en-GB"/>
        </w:rPr>
        <w:t>4.5.5</w:t>
      </w:r>
      <w:r w:rsidRPr="00D83B07">
        <w:rPr>
          <w:rFonts w:hint="eastAsia"/>
          <w:lang w:val="en-GB"/>
        </w:rPr>
        <w:t>运行控制”条款的相关要求。</w:t>
      </w:r>
    </w:p>
    <w:p w:rsidR="00D83B07" w:rsidRPr="00D83B07" w:rsidRDefault="00D83B07" w:rsidP="00D83B07">
      <w:pPr>
        <w:snapToGrid w:val="0"/>
        <w:spacing w:beforeLines="50" w:afterLines="50"/>
        <w:ind w:firstLineChars="200" w:firstLine="420"/>
        <w:rPr>
          <w:lang w:val="en-GB"/>
        </w:rPr>
      </w:pPr>
    </w:p>
    <w:p w:rsidR="00D83B07" w:rsidRPr="00D83B07" w:rsidRDefault="00D83B07" w:rsidP="00D83B07">
      <w:pPr>
        <w:snapToGrid w:val="0"/>
        <w:spacing w:beforeLines="50" w:afterLines="50"/>
        <w:ind w:firstLineChars="200" w:firstLine="422"/>
        <w:rPr>
          <w:rFonts w:hint="eastAsia"/>
          <w:b/>
          <w:lang w:val="en-GB"/>
        </w:rPr>
      </w:pPr>
      <w:r w:rsidRPr="00D83B07">
        <w:rPr>
          <w:rFonts w:hint="eastAsia"/>
          <w:b/>
          <w:lang w:val="en-GB"/>
        </w:rPr>
        <w:t>案例四</w:t>
      </w:r>
      <w:r w:rsidRPr="00D83B07">
        <w:rPr>
          <w:rFonts w:hint="eastAsia"/>
          <w:b/>
          <w:lang w:val="en-GB"/>
        </w:rPr>
        <w:t>.</w:t>
      </w:r>
      <w:r w:rsidRPr="00D83B07">
        <w:rPr>
          <w:rFonts w:hint="eastAsia"/>
          <w:b/>
          <w:lang w:val="en-GB"/>
        </w:rPr>
        <w:t>《</w:t>
      </w:r>
      <w:r w:rsidRPr="00D83B07">
        <w:rPr>
          <w:rFonts w:hint="eastAsia"/>
          <w:b/>
          <w:lang w:val="en-GB"/>
        </w:rPr>
        <w:t>GB/T3485-1998</w:t>
      </w:r>
      <w:r w:rsidRPr="00D83B07">
        <w:rPr>
          <w:rFonts w:hint="eastAsia"/>
          <w:b/>
          <w:lang w:val="en-GB"/>
        </w:rPr>
        <w:t>评价企业合理用电技术导则》</w:t>
      </w:r>
    </w:p>
    <w:p w:rsidR="00D83B07" w:rsidRPr="00D83B07" w:rsidRDefault="00D83B07" w:rsidP="00D83B07">
      <w:pPr>
        <w:snapToGrid w:val="0"/>
        <w:spacing w:beforeLines="50" w:afterLines="50"/>
        <w:ind w:firstLineChars="200" w:firstLine="420"/>
        <w:rPr>
          <w:rFonts w:hint="eastAsia"/>
          <w:lang w:val="en-GB"/>
        </w:rPr>
      </w:pPr>
      <w:r w:rsidRPr="00D83B07">
        <w:rPr>
          <w:rFonts w:hint="eastAsia"/>
          <w:lang w:val="en-GB"/>
        </w:rPr>
        <w:t>《</w:t>
      </w:r>
      <w:r w:rsidRPr="00D83B07">
        <w:rPr>
          <w:rFonts w:hint="eastAsia"/>
          <w:lang w:val="en-GB"/>
        </w:rPr>
        <w:t>GB/T3485-1998</w:t>
      </w:r>
      <w:r w:rsidRPr="00D83B07">
        <w:rPr>
          <w:rFonts w:hint="eastAsia"/>
          <w:lang w:val="en-GB"/>
        </w:rPr>
        <w:t>评价企业合理用电技术导则》规定“凡生产过程中利用电能进行化学分解以获取所需产品（或半成品）的工艺过程，在合理电流密度下，应严格控制与电能消耗有关的主要技术经济指标：电流效率、平均槽电压、单位产品电耗”、“每个电解槽的泄漏电流应小于槽组电流的</w:t>
      </w:r>
      <w:r w:rsidRPr="00D83B07">
        <w:rPr>
          <w:rFonts w:hint="eastAsia"/>
          <w:lang w:val="en-GB"/>
        </w:rPr>
        <w:t>0.1%</w:t>
      </w:r>
      <w:r w:rsidRPr="00D83B07">
        <w:rPr>
          <w:rFonts w:hint="eastAsia"/>
          <w:lang w:val="en-GB"/>
        </w:rPr>
        <w:t>～</w:t>
      </w:r>
      <w:r w:rsidRPr="00D83B07">
        <w:rPr>
          <w:rFonts w:hint="eastAsia"/>
          <w:lang w:val="en-GB"/>
        </w:rPr>
        <w:t>0.2%</w:t>
      </w:r>
      <w:r w:rsidRPr="00D83B07">
        <w:rPr>
          <w:rFonts w:hint="eastAsia"/>
          <w:lang w:val="en-GB"/>
        </w:rPr>
        <w:t>，或电解槽系列两端对地电压偏差值小于或等于±</w:t>
      </w:r>
      <w:r w:rsidRPr="00D83B07">
        <w:rPr>
          <w:rFonts w:hint="eastAsia"/>
          <w:lang w:val="en-GB"/>
        </w:rPr>
        <w:t>10%</w:t>
      </w:r>
      <w:r w:rsidRPr="00D83B07">
        <w:rPr>
          <w:rFonts w:hint="eastAsia"/>
          <w:lang w:val="en-GB"/>
        </w:rPr>
        <w:t>。”、还规定“电解、电镀的直流网络应采取措施，降低电压损失。在额定负荷下电力整流设备至电解、电镀槽的母线电压降应小于下列指标</w:t>
      </w:r>
      <w:r w:rsidRPr="00D83B07">
        <w:rPr>
          <w:rFonts w:hint="eastAsia"/>
          <w:lang w:val="en-GB"/>
        </w:rPr>
        <w:t>:a)</w:t>
      </w:r>
      <w:r w:rsidRPr="00D83B07">
        <w:rPr>
          <w:rFonts w:hint="eastAsia"/>
          <w:lang w:val="en-GB"/>
        </w:rPr>
        <w:t>电解生产</w:t>
      </w:r>
      <w:r w:rsidRPr="00D83B07">
        <w:rPr>
          <w:rFonts w:hint="eastAsia"/>
          <w:lang w:val="en-GB"/>
        </w:rPr>
        <w:t>1.5V</w:t>
      </w:r>
      <w:r w:rsidRPr="00D83B07">
        <w:rPr>
          <w:rFonts w:hint="eastAsia"/>
          <w:lang w:val="en-GB"/>
        </w:rPr>
        <w:t>，</w:t>
      </w:r>
      <w:r w:rsidRPr="00D83B07">
        <w:rPr>
          <w:rFonts w:hint="eastAsia"/>
          <w:lang w:val="en-GB"/>
        </w:rPr>
        <w:t>b)</w:t>
      </w:r>
      <w:r w:rsidRPr="00D83B07">
        <w:rPr>
          <w:rFonts w:hint="eastAsia"/>
          <w:lang w:val="en-GB"/>
        </w:rPr>
        <w:t>电镀生产</w:t>
      </w:r>
      <w:r w:rsidRPr="00D83B07">
        <w:rPr>
          <w:rFonts w:hint="eastAsia"/>
          <w:lang w:val="en-GB"/>
        </w:rPr>
        <w:t>1.0V</w:t>
      </w:r>
      <w:r w:rsidRPr="00D83B07">
        <w:rPr>
          <w:rFonts w:hint="eastAsia"/>
          <w:lang w:val="en-GB"/>
        </w:rPr>
        <w:t>”。</w:t>
      </w:r>
    </w:p>
    <w:p w:rsidR="00D83B07" w:rsidRPr="00D83B07" w:rsidRDefault="00D83B07" w:rsidP="00D83B07">
      <w:pPr>
        <w:snapToGrid w:val="0"/>
        <w:spacing w:beforeLines="50" w:afterLines="50"/>
        <w:ind w:firstLineChars="200" w:firstLine="420"/>
        <w:rPr>
          <w:rFonts w:hint="eastAsia"/>
          <w:lang w:val="en-GB"/>
        </w:rPr>
      </w:pPr>
      <w:r w:rsidRPr="00D83B07">
        <w:rPr>
          <w:rFonts w:hint="eastAsia"/>
          <w:lang w:val="en-GB"/>
        </w:rPr>
        <w:t>某冶炼企业的综合回收系统电积工序缺少对于电流效率、泄漏电流测试、母线电压降的控制要求，无</w:t>
      </w:r>
      <w:r w:rsidRPr="00D83B07">
        <w:rPr>
          <w:rFonts w:hint="eastAsia"/>
          <w:lang w:val="en-GB"/>
        </w:rPr>
        <w:lastRenderedPageBreak/>
        <w:t>法保证电解过程电效率的合理性，不符合《</w:t>
      </w:r>
      <w:r w:rsidRPr="00D83B07">
        <w:rPr>
          <w:rFonts w:hint="eastAsia"/>
          <w:lang w:val="en-GB"/>
        </w:rPr>
        <w:t>GB/T3485-1998</w:t>
      </w:r>
      <w:r w:rsidRPr="00D83B07">
        <w:rPr>
          <w:rFonts w:hint="eastAsia"/>
          <w:lang w:val="en-GB"/>
        </w:rPr>
        <w:t>评价企业合理用电技术导则》的要求，也不符合</w:t>
      </w:r>
      <w:r w:rsidRPr="00D83B07">
        <w:rPr>
          <w:rFonts w:hint="eastAsia"/>
          <w:lang w:val="en-GB"/>
        </w:rPr>
        <w:t>GB/T23331-2012</w:t>
      </w:r>
      <w:r w:rsidRPr="00D83B07">
        <w:rPr>
          <w:rFonts w:hint="eastAsia"/>
          <w:lang w:val="en-GB"/>
        </w:rPr>
        <w:t>标准“</w:t>
      </w:r>
      <w:r w:rsidRPr="00D83B07">
        <w:rPr>
          <w:rFonts w:hint="eastAsia"/>
          <w:lang w:val="en-GB"/>
        </w:rPr>
        <w:t>4.5.5</w:t>
      </w:r>
      <w:r w:rsidRPr="00D83B07">
        <w:rPr>
          <w:rFonts w:hint="eastAsia"/>
          <w:lang w:val="en-GB"/>
        </w:rPr>
        <w:t>运行控制”条款的相关要求。</w:t>
      </w:r>
    </w:p>
    <w:p w:rsidR="00D83B07" w:rsidRPr="00D83B07" w:rsidRDefault="00D83B07" w:rsidP="00D83B07">
      <w:pPr>
        <w:snapToGrid w:val="0"/>
        <w:spacing w:beforeLines="50" w:afterLines="50"/>
        <w:ind w:firstLineChars="200" w:firstLine="420"/>
        <w:rPr>
          <w:lang w:val="en-GB"/>
        </w:rPr>
      </w:pPr>
    </w:p>
    <w:p w:rsidR="00D83B07" w:rsidRPr="00D83B07" w:rsidRDefault="00D83B07" w:rsidP="00D83B07">
      <w:pPr>
        <w:snapToGrid w:val="0"/>
        <w:spacing w:beforeLines="50" w:afterLines="50"/>
        <w:ind w:firstLineChars="200" w:firstLine="422"/>
        <w:rPr>
          <w:rFonts w:hint="eastAsia"/>
          <w:b/>
          <w:lang w:val="en-GB"/>
        </w:rPr>
      </w:pPr>
      <w:r w:rsidRPr="00D83B07">
        <w:rPr>
          <w:rFonts w:hint="eastAsia"/>
          <w:b/>
          <w:lang w:val="en-GB"/>
        </w:rPr>
        <w:t>案例五</w:t>
      </w:r>
      <w:r w:rsidRPr="00D83B07">
        <w:rPr>
          <w:rFonts w:hint="eastAsia"/>
          <w:b/>
          <w:lang w:val="en-GB"/>
        </w:rPr>
        <w:t>.</w:t>
      </w:r>
      <w:r w:rsidRPr="00D83B07">
        <w:rPr>
          <w:rFonts w:hint="eastAsia"/>
          <w:b/>
          <w:lang w:val="en-GB"/>
        </w:rPr>
        <w:t>《</w:t>
      </w:r>
      <w:r w:rsidRPr="00D83B07">
        <w:rPr>
          <w:rFonts w:hint="eastAsia"/>
          <w:b/>
          <w:lang w:val="en-GB"/>
        </w:rPr>
        <w:t>GB/T3485-1998</w:t>
      </w:r>
      <w:r w:rsidRPr="00D83B07">
        <w:rPr>
          <w:rFonts w:hint="eastAsia"/>
          <w:b/>
          <w:lang w:val="en-GB"/>
        </w:rPr>
        <w:t>评价企业合理用电技术导则》</w:t>
      </w:r>
    </w:p>
    <w:p w:rsidR="00D83B07" w:rsidRPr="00D83B07" w:rsidRDefault="00D83B07" w:rsidP="00D83B07">
      <w:pPr>
        <w:snapToGrid w:val="0"/>
        <w:spacing w:beforeLines="50" w:afterLines="50"/>
        <w:ind w:firstLineChars="200" w:firstLine="420"/>
        <w:rPr>
          <w:rFonts w:hint="eastAsia"/>
          <w:lang w:val="en-GB"/>
        </w:rPr>
      </w:pPr>
      <w:r w:rsidRPr="00D83B07">
        <w:rPr>
          <w:rFonts w:hint="eastAsia"/>
          <w:lang w:val="en-GB"/>
        </w:rPr>
        <w:t>《</w:t>
      </w:r>
      <w:r w:rsidRPr="00D83B07">
        <w:rPr>
          <w:rFonts w:hint="eastAsia"/>
          <w:lang w:val="en-GB"/>
        </w:rPr>
        <w:t>GB/T3485-1998</w:t>
      </w:r>
      <w:r w:rsidRPr="00D83B07">
        <w:rPr>
          <w:rFonts w:hint="eastAsia"/>
          <w:lang w:val="en-GB"/>
        </w:rPr>
        <w:t>评价企业合理用电技术导则》规定“对容量在</w:t>
      </w:r>
      <w:r w:rsidRPr="00D83B07">
        <w:rPr>
          <w:rFonts w:hint="eastAsia"/>
          <w:lang w:val="en-GB"/>
        </w:rPr>
        <w:t>50kW</w:t>
      </w:r>
      <w:r w:rsidRPr="00D83B07">
        <w:rPr>
          <w:rFonts w:hint="eastAsia"/>
          <w:lang w:val="en-GB"/>
        </w:rPr>
        <w:t>及以上的电加热设备，要配置电压、电流、有功电能表、无功电能表（不包括电阻炉及电熔槽），进行监测记录，统计分析下列技术经济指标</w:t>
      </w:r>
      <w:r w:rsidRPr="00D83B07">
        <w:rPr>
          <w:rFonts w:hint="eastAsia"/>
          <w:lang w:val="en-GB"/>
        </w:rPr>
        <w:t>:a)</w:t>
      </w:r>
      <w:r w:rsidRPr="00D83B07">
        <w:rPr>
          <w:rFonts w:hint="eastAsia"/>
          <w:lang w:val="en-GB"/>
        </w:rPr>
        <w:t>单位产品电耗；</w:t>
      </w:r>
      <w:r w:rsidRPr="00D83B07">
        <w:rPr>
          <w:rFonts w:hint="eastAsia"/>
          <w:lang w:val="en-GB"/>
        </w:rPr>
        <w:t>b)</w:t>
      </w:r>
      <w:r w:rsidRPr="00D83B07">
        <w:rPr>
          <w:rFonts w:hint="eastAsia"/>
          <w:lang w:val="en-GB"/>
        </w:rPr>
        <w:t>电炉的效率；</w:t>
      </w:r>
      <w:r w:rsidRPr="00D83B07">
        <w:rPr>
          <w:rFonts w:hint="eastAsia"/>
          <w:lang w:val="en-GB"/>
        </w:rPr>
        <w:t>c)</w:t>
      </w:r>
      <w:r w:rsidRPr="00D83B07">
        <w:rPr>
          <w:rFonts w:hint="eastAsia"/>
          <w:lang w:val="en-GB"/>
        </w:rPr>
        <w:t>功率因数”。</w:t>
      </w:r>
    </w:p>
    <w:p w:rsidR="00D83B07" w:rsidRPr="00D83B07" w:rsidRDefault="00D83B07" w:rsidP="00D83B07">
      <w:pPr>
        <w:snapToGrid w:val="0"/>
        <w:spacing w:beforeLines="50" w:afterLines="50"/>
        <w:ind w:firstLineChars="200" w:firstLine="420"/>
        <w:rPr>
          <w:rFonts w:hint="eastAsia"/>
          <w:lang w:val="en-GB"/>
        </w:rPr>
      </w:pPr>
      <w:r w:rsidRPr="00D83B07">
        <w:rPr>
          <w:rFonts w:hint="eastAsia"/>
          <w:lang w:val="en-GB"/>
        </w:rPr>
        <w:t>某双金属材料企业按照《</w:t>
      </w:r>
      <w:r w:rsidRPr="00D83B07">
        <w:rPr>
          <w:rFonts w:hint="eastAsia"/>
          <w:lang w:val="en-GB"/>
        </w:rPr>
        <w:t>GB/T3485-1998</w:t>
      </w:r>
      <w:r w:rsidRPr="00D83B07">
        <w:rPr>
          <w:rFonts w:hint="eastAsia"/>
          <w:lang w:val="en-GB"/>
        </w:rPr>
        <w:t>评价企业合理用电技术导则》确定了容量在</w:t>
      </w:r>
      <w:r w:rsidRPr="00D83B07">
        <w:rPr>
          <w:rFonts w:hint="eastAsia"/>
          <w:lang w:val="en-GB"/>
        </w:rPr>
        <w:t>50kW</w:t>
      </w:r>
      <w:r w:rsidRPr="00D83B07">
        <w:rPr>
          <w:rFonts w:hint="eastAsia"/>
          <w:lang w:val="en-GB"/>
        </w:rPr>
        <w:t>及以上的电加热设备为主要耗能设备，安装了电表，每天安排专人抄表，每周总结电耗情况并与上年同期比较，但缺少对于这些电加热设备自身的电效率和功率因数的测算和分析。这种与上年同期比较的方法只是了解了能耗水平的变化而不是合理性的判定，不进行技术经济指标的测算就无法了解这些电加热设备个体能耗的合理性，因此企业的做法不符合《</w:t>
      </w:r>
      <w:r w:rsidRPr="00D83B07">
        <w:rPr>
          <w:rFonts w:hint="eastAsia"/>
          <w:lang w:val="en-GB"/>
        </w:rPr>
        <w:t>GB/T3485-1998</w:t>
      </w:r>
      <w:r w:rsidRPr="00D83B07">
        <w:rPr>
          <w:rFonts w:hint="eastAsia"/>
          <w:lang w:val="en-GB"/>
        </w:rPr>
        <w:t>评价企业合理用电技术导则》的要求，也不符合</w:t>
      </w:r>
      <w:r w:rsidRPr="00D83B07">
        <w:rPr>
          <w:rFonts w:hint="eastAsia"/>
          <w:lang w:val="en-GB"/>
        </w:rPr>
        <w:t>GB/T23331-2012</w:t>
      </w:r>
      <w:r w:rsidRPr="00D83B07">
        <w:rPr>
          <w:rFonts w:hint="eastAsia"/>
          <w:lang w:val="en-GB"/>
        </w:rPr>
        <w:t>标准“</w:t>
      </w:r>
      <w:r w:rsidRPr="00D83B07">
        <w:rPr>
          <w:rFonts w:hint="eastAsia"/>
          <w:lang w:val="en-GB"/>
        </w:rPr>
        <w:t>4.6.1</w:t>
      </w:r>
      <w:r w:rsidRPr="00D83B07">
        <w:rPr>
          <w:rFonts w:hint="eastAsia"/>
          <w:lang w:val="en-GB"/>
        </w:rPr>
        <w:t>监视、测量与分析”条款的相关要求。</w:t>
      </w:r>
      <w:r w:rsidRPr="00D83B07">
        <w:rPr>
          <w:rFonts w:hint="eastAsia"/>
          <w:lang w:val="en-GB"/>
        </w:rPr>
        <w:t xml:space="preserve"> </w:t>
      </w:r>
    </w:p>
    <w:p w:rsidR="00D83B07" w:rsidRPr="00D83B07" w:rsidRDefault="00D83B07" w:rsidP="00D83B07">
      <w:pPr>
        <w:snapToGrid w:val="0"/>
        <w:spacing w:beforeLines="50" w:afterLines="50"/>
        <w:ind w:firstLineChars="200" w:firstLine="420"/>
        <w:rPr>
          <w:lang w:val="en-GB"/>
        </w:rPr>
      </w:pPr>
    </w:p>
    <w:p w:rsidR="00D83B07" w:rsidRPr="00D83B07" w:rsidRDefault="00D83B07" w:rsidP="00D83B07">
      <w:pPr>
        <w:snapToGrid w:val="0"/>
        <w:spacing w:beforeLines="50" w:afterLines="50"/>
        <w:ind w:firstLineChars="200" w:firstLine="422"/>
        <w:rPr>
          <w:rFonts w:hint="eastAsia"/>
          <w:b/>
          <w:lang w:val="en-GB"/>
        </w:rPr>
      </w:pPr>
      <w:r w:rsidRPr="00D83B07">
        <w:rPr>
          <w:rFonts w:hint="eastAsia"/>
          <w:b/>
          <w:lang w:val="en-GB"/>
        </w:rPr>
        <w:t>案例六</w:t>
      </w:r>
      <w:r w:rsidRPr="00D83B07">
        <w:rPr>
          <w:rFonts w:hint="eastAsia"/>
          <w:b/>
          <w:lang w:val="en-GB"/>
        </w:rPr>
        <w:t>.</w:t>
      </w:r>
      <w:r w:rsidRPr="00D83B07">
        <w:rPr>
          <w:rFonts w:hint="eastAsia"/>
          <w:b/>
          <w:lang w:val="en-GB"/>
        </w:rPr>
        <w:t>《</w:t>
      </w:r>
      <w:r w:rsidRPr="00D83B07">
        <w:rPr>
          <w:rFonts w:hint="eastAsia"/>
          <w:b/>
          <w:lang w:val="en-GB"/>
        </w:rPr>
        <w:t>GB/T3485-1998</w:t>
      </w:r>
      <w:r w:rsidRPr="00D83B07">
        <w:rPr>
          <w:rFonts w:hint="eastAsia"/>
          <w:b/>
          <w:lang w:val="en-GB"/>
        </w:rPr>
        <w:t>评价企业合理用电技术导则》、《</w:t>
      </w:r>
      <w:r w:rsidRPr="00D83B07">
        <w:rPr>
          <w:rFonts w:hint="eastAsia"/>
          <w:b/>
          <w:lang w:val="en-GB"/>
        </w:rPr>
        <w:t xml:space="preserve">GB50033-2013 </w:t>
      </w:r>
      <w:r w:rsidRPr="00D83B07">
        <w:rPr>
          <w:rFonts w:hint="eastAsia"/>
          <w:b/>
          <w:lang w:val="en-GB"/>
        </w:rPr>
        <w:t>建筑采光设计标准》</w:t>
      </w:r>
    </w:p>
    <w:p w:rsidR="00D83B07" w:rsidRPr="00D83B07" w:rsidRDefault="00D83B07" w:rsidP="00D83B07">
      <w:pPr>
        <w:snapToGrid w:val="0"/>
        <w:spacing w:beforeLines="50" w:afterLines="50"/>
        <w:ind w:firstLineChars="200" w:firstLine="420"/>
        <w:rPr>
          <w:rFonts w:hint="eastAsia"/>
          <w:lang w:val="en-GB"/>
        </w:rPr>
      </w:pPr>
      <w:r w:rsidRPr="00D83B07">
        <w:rPr>
          <w:rFonts w:hint="eastAsia"/>
          <w:lang w:val="en-GB"/>
        </w:rPr>
        <w:t>《</w:t>
      </w:r>
      <w:r w:rsidRPr="00D83B07">
        <w:rPr>
          <w:rFonts w:hint="eastAsia"/>
          <w:lang w:val="en-GB"/>
        </w:rPr>
        <w:t>GB/T3485-1998</w:t>
      </w:r>
      <w:r w:rsidRPr="00D83B07">
        <w:rPr>
          <w:rFonts w:hint="eastAsia"/>
          <w:lang w:val="en-GB"/>
        </w:rPr>
        <w:t>评价企业合理用电技术导则》规定“要充分利用天然光，建筑物的开窗面积及室内表面反射系数应符合</w:t>
      </w:r>
      <w:r w:rsidRPr="00D83B07">
        <w:rPr>
          <w:rFonts w:hint="eastAsia"/>
          <w:lang w:val="en-GB"/>
        </w:rPr>
        <w:t>GB50033</w:t>
      </w:r>
      <w:r w:rsidRPr="00D83B07">
        <w:rPr>
          <w:rFonts w:hint="eastAsia"/>
          <w:lang w:val="en-GB"/>
        </w:rPr>
        <w:t>的规定”。</w:t>
      </w:r>
    </w:p>
    <w:p w:rsidR="00D83B07" w:rsidRPr="00D83B07" w:rsidRDefault="00D83B07" w:rsidP="00D83B07">
      <w:pPr>
        <w:snapToGrid w:val="0"/>
        <w:spacing w:beforeLines="50" w:afterLines="50"/>
        <w:ind w:firstLineChars="200" w:firstLine="420"/>
        <w:rPr>
          <w:rFonts w:hint="eastAsia"/>
          <w:lang w:val="en-GB"/>
        </w:rPr>
      </w:pPr>
      <w:r w:rsidRPr="00D83B07">
        <w:rPr>
          <w:rFonts w:hint="eastAsia"/>
          <w:lang w:val="en-GB"/>
        </w:rPr>
        <w:t>《</w:t>
      </w:r>
      <w:r w:rsidRPr="00D83B07">
        <w:rPr>
          <w:rFonts w:hint="eastAsia"/>
          <w:lang w:val="en-GB"/>
        </w:rPr>
        <w:t xml:space="preserve">GB50033-2013 </w:t>
      </w:r>
      <w:r w:rsidRPr="00D83B07">
        <w:rPr>
          <w:rFonts w:hint="eastAsia"/>
          <w:lang w:val="en-GB"/>
        </w:rPr>
        <w:t>建筑采光设计标准》中规定了建筑采光的基本规定、采光标准值、采光质量、采光计算和采光节能等要求。</w:t>
      </w:r>
    </w:p>
    <w:p w:rsidR="00875FF2" w:rsidRPr="00D83B07" w:rsidRDefault="00D83B07" w:rsidP="00D83B07">
      <w:pPr>
        <w:snapToGrid w:val="0"/>
        <w:spacing w:beforeLines="50" w:afterLines="50"/>
        <w:ind w:firstLineChars="200" w:firstLine="420"/>
        <w:rPr>
          <w:lang w:val="en-GB"/>
        </w:rPr>
      </w:pPr>
      <w:r w:rsidRPr="00D83B07">
        <w:rPr>
          <w:rFonts w:hint="eastAsia"/>
          <w:lang w:val="en-GB"/>
        </w:rPr>
        <w:t>某企业所属的家电产品设计研究所的研发室窗玻璃均采用磨砂玻璃，由于光线较暗，所以即使是白天和晴天，员工也开灯办公（否则看不清）。企业开展能源管理体系管理后，要求各个办公室在晴天时白天不能开灯办公，造成研究所的员工有许多抱怨，对能源管理也产生了一定的怨言和抵触。经能源管理体系外审提出检测光照度的建议后，企业自购了检测仪监测其研发室室内天然光，发现室内的照度只有</w:t>
      </w:r>
      <w:r w:rsidRPr="00D83B07">
        <w:rPr>
          <w:rFonts w:hint="eastAsia"/>
          <w:lang w:val="en-GB"/>
        </w:rPr>
        <w:t>510Lx-540Lx</w:t>
      </w:r>
      <w:r w:rsidRPr="00D83B07">
        <w:rPr>
          <w:rFonts w:hint="eastAsia"/>
          <w:lang w:val="en-GB"/>
        </w:rPr>
        <w:t>，不符合《</w:t>
      </w:r>
      <w:r w:rsidRPr="00D83B07">
        <w:rPr>
          <w:rFonts w:hint="eastAsia"/>
          <w:lang w:val="en-GB"/>
        </w:rPr>
        <w:t xml:space="preserve">GB50033-2013 </w:t>
      </w:r>
      <w:r w:rsidRPr="00D83B07">
        <w:rPr>
          <w:rFonts w:hint="eastAsia"/>
          <w:lang w:val="en-GB"/>
        </w:rPr>
        <w:t>建筑采光设计标准》规定的属于Ⅰ类场所的设计室的要求的室内天然光照度不得低于</w:t>
      </w:r>
      <w:r w:rsidRPr="00D83B07">
        <w:rPr>
          <w:rFonts w:hint="eastAsia"/>
          <w:lang w:val="en-GB"/>
        </w:rPr>
        <w:t>600Lx</w:t>
      </w:r>
      <w:r w:rsidRPr="00D83B07">
        <w:rPr>
          <w:rFonts w:hint="eastAsia"/>
          <w:lang w:val="en-GB"/>
        </w:rPr>
        <w:t>的要求。企业在磨砂玻璃遮光导致光照度不足的条件下，仅以节能降耗的理由提出不能开灯办公的要求缺少科学依据，此规定不合理，也不符合</w:t>
      </w:r>
      <w:r w:rsidRPr="00D83B07">
        <w:rPr>
          <w:rFonts w:hint="eastAsia"/>
          <w:lang w:val="en-GB"/>
        </w:rPr>
        <w:t>GB/T23331-2012</w:t>
      </w:r>
      <w:r w:rsidRPr="00D83B07">
        <w:rPr>
          <w:rFonts w:hint="eastAsia"/>
          <w:lang w:val="en-GB"/>
        </w:rPr>
        <w:t>标准“</w:t>
      </w:r>
      <w:r w:rsidRPr="00D83B07">
        <w:rPr>
          <w:rFonts w:hint="eastAsia"/>
          <w:lang w:val="en-GB"/>
        </w:rPr>
        <w:t>4.5.5</w:t>
      </w:r>
      <w:r w:rsidRPr="00D83B07">
        <w:rPr>
          <w:rFonts w:hint="eastAsia"/>
          <w:lang w:val="en-GB"/>
        </w:rPr>
        <w:t>运行控制”的相关要求。</w:t>
      </w:r>
    </w:p>
    <w:sectPr w:rsidR="00875FF2" w:rsidRPr="00D83B07" w:rsidSect="00B97B04">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288" w:rsidRDefault="00C63288" w:rsidP="0032019B">
      <w:r>
        <w:separator/>
      </w:r>
    </w:p>
  </w:endnote>
  <w:endnote w:type="continuationSeparator" w:id="0">
    <w:p w:rsidR="00C63288" w:rsidRDefault="00C63288" w:rsidP="003201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288" w:rsidRDefault="00C63288" w:rsidP="0032019B">
      <w:r>
        <w:separator/>
      </w:r>
    </w:p>
  </w:footnote>
  <w:footnote w:type="continuationSeparator" w:id="0">
    <w:p w:rsidR="00C63288" w:rsidRDefault="00C63288" w:rsidP="003201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019B"/>
    <w:rsid w:val="00000BEF"/>
    <w:rsid w:val="00001237"/>
    <w:rsid w:val="00001330"/>
    <w:rsid w:val="00001504"/>
    <w:rsid w:val="0000284F"/>
    <w:rsid w:val="00007B64"/>
    <w:rsid w:val="00010268"/>
    <w:rsid w:val="00013D64"/>
    <w:rsid w:val="0001423C"/>
    <w:rsid w:val="000145DB"/>
    <w:rsid w:val="000221C5"/>
    <w:rsid w:val="00022AEA"/>
    <w:rsid w:val="000237B3"/>
    <w:rsid w:val="00023B9D"/>
    <w:rsid w:val="00023FFC"/>
    <w:rsid w:val="00024028"/>
    <w:rsid w:val="00024B56"/>
    <w:rsid w:val="0004189D"/>
    <w:rsid w:val="000441F0"/>
    <w:rsid w:val="00045C2C"/>
    <w:rsid w:val="000543B3"/>
    <w:rsid w:val="00057044"/>
    <w:rsid w:val="000600C9"/>
    <w:rsid w:val="0006103C"/>
    <w:rsid w:val="000625C9"/>
    <w:rsid w:val="0006433C"/>
    <w:rsid w:val="00066373"/>
    <w:rsid w:val="00067914"/>
    <w:rsid w:val="00070FDC"/>
    <w:rsid w:val="00071417"/>
    <w:rsid w:val="000715A7"/>
    <w:rsid w:val="00072B87"/>
    <w:rsid w:val="0007390B"/>
    <w:rsid w:val="00074B0C"/>
    <w:rsid w:val="00075846"/>
    <w:rsid w:val="00076E89"/>
    <w:rsid w:val="00082A16"/>
    <w:rsid w:val="00083322"/>
    <w:rsid w:val="00083441"/>
    <w:rsid w:val="0008412A"/>
    <w:rsid w:val="00085F85"/>
    <w:rsid w:val="00092F0D"/>
    <w:rsid w:val="000957C0"/>
    <w:rsid w:val="0009681E"/>
    <w:rsid w:val="000A1984"/>
    <w:rsid w:val="000A1EA4"/>
    <w:rsid w:val="000A360F"/>
    <w:rsid w:val="000A3BA9"/>
    <w:rsid w:val="000A484C"/>
    <w:rsid w:val="000A50EA"/>
    <w:rsid w:val="000B35FE"/>
    <w:rsid w:val="000B483C"/>
    <w:rsid w:val="000B59F6"/>
    <w:rsid w:val="000B59FE"/>
    <w:rsid w:val="000C1255"/>
    <w:rsid w:val="000C18F1"/>
    <w:rsid w:val="000C24BD"/>
    <w:rsid w:val="000C377D"/>
    <w:rsid w:val="000C49AE"/>
    <w:rsid w:val="000D2AFD"/>
    <w:rsid w:val="000D2BF8"/>
    <w:rsid w:val="000D3BA3"/>
    <w:rsid w:val="000D4716"/>
    <w:rsid w:val="000D5F15"/>
    <w:rsid w:val="000E17A5"/>
    <w:rsid w:val="000F0382"/>
    <w:rsid w:val="000F7CA2"/>
    <w:rsid w:val="00100695"/>
    <w:rsid w:val="00101424"/>
    <w:rsid w:val="001017F7"/>
    <w:rsid w:val="001018C4"/>
    <w:rsid w:val="0010272B"/>
    <w:rsid w:val="001043D6"/>
    <w:rsid w:val="00106F26"/>
    <w:rsid w:val="001130C9"/>
    <w:rsid w:val="0012188E"/>
    <w:rsid w:val="001222B1"/>
    <w:rsid w:val="00124226"/>
    <w:rsid w:val="001243CF"/>
    <w:rsid w:val="001247D6"/>
    <w:rsid w:val="00125DE6"/>
    <w:rsid w:val="001263CC"/>
    <w:rsid w:val="00126C14"/>
    <w:rsid w:val="00127851"/>
    <w:rsid w:val="00127BE4"/>
    <w:rsid w:val="001307C0"/>
    <w:rsid w:val="00131067"/>
    <w:rsid w:val="00132DAA"/>
    <w:rsid w:val="00132DBD"/>
    <w:rsid w:val="00133048"/>
    <w:rsid w:val="00134FAC"/>
    <w:rsid w:val="00140902"/>
    <w:rsid w:val="00140915"/>
    <w:rsid w:val="001411ED"/>
    <w:rsid w:val="001415E8"/>
    <w:rsid w:val="001432F9"/>
    <w:rsid w:val="00144381"/>
    <w:rsid w:val="00146197"/>
    <w:rsid w:val="0014718E"/>
    <w:rsid w:val="00151603"/>
    <w:rsid w:val="001517F4"/>
    <w:rsid w:val="0015298B"/>
    <w:rsid w:val="00153867"/>
    <w:rsid w:val="00153ABA"/>
    <w:rsid w:val="00154579"/>
    <w:rsid w:val="00154E27"/>
    <w:rsid w:val="00155F52"/>
    <w:rsid w:val="001578A6"/>
    <w:rsid w:val="001601CF"/>
    <w:rsid w:val="001609B5"/>
    <w:rsid w:val="00160D7E"/>
    <w:rsid w:val="0016215C"/>
    <w:rsid w:val="0016334F"/>
    <w:rsid w:val="001645A2"/>
    <w:rsid w:val="001668E5"/>
    <w:rsid w:val="001675D3"/>
    <w:rsid w:val="00174B22"/>
    <w:rsid w:val="00177897"/>
    <w:rsid w:val="001825CC"/>
    <w:rsid w:val="00182791"/>
    <w:rsid w:val="00183775"/>
    <w:rsid w:val="0018379A"/>
    <w:rsid w:val="00184916"/>
    <w:rsid w:val="00185180"/>
    <w:rsid w:val="00190E7D"/>
    <w:rsid w:val="00192990"/>
    <w:rsid w:val="00193CCE"/>
    <w:rsid w:val="00195A24"/>
    <w:rsid w:val="00196EE9"/>
    <w:rsid w:val="00196F3C"/>
    <w:rsid w:val="001A4BBD"/>
    <w:rsid w:val="001A5619"/>
    <w:rsid w:val="001A6381"/>
    <w:rsid w:val="001B0179"/>
    <w:rsid w:val="001B2BFA"/>
    <w:rsid w:val="001B61BF"/>
    <w:rsid w:val="001C3EEE"/>
    <w:rsid w:val="001C43D9"/>
    <w:rsid w:val="001C5BF9"/>
    <w:rsid w:val="001C6FD1"/>
    <w:rsid w:val="001D0A73"/>
    <w:rsid w:val="001D267F"/>
    <w:rsid w:val="001D28B0"/>
    <w:rsid w:val="001D3725"/>
    <w:rsid w:val="001D65AB"/>
    <w:rsid w:val="001D7DFA"/>
    <w:rsid w:val="001E0814"/>
    <w:rsid w:val="001E17DF"/>
    <w:rsid w:val="001E2D61"/>
    <w:rsid w:val="001E2E2E"/>
    <w:rsid w:val="001E576A"/>
    <w:rsid w:val="001E6075"/>
    <w:rsid w:val="001E65DD"/>
    <w:rsid w:val="001E7730"/>
    <w:rsid w:val="001F28EC"/>
    <w:rsid w:val="00200115"/>
    <w:rsid w:val="00200C74"/>
    <w:rsid w:val="002035B5"/>
    <w:rsid w:val="00204837"/>
    <w:rsid w:val="00206203"/>
    <w:rsid w:val="00206581"/>
    <w:rsid w:val="00206ADB"/>
    <w:rsid w:val="00212516"/>
    <w:rsid w:val="002154DB"/>
    <w:rsid w:val="00215A60"/>
    <w:rsid w:val="00221904"/>
    <w:rsid w:val="00224339"/>
    <w:rsid w:val="00225778"/>
    <w:rsid w:val="00234DA9"/>
    <w:rsid w:val="00235657"/>
    <w:rsid w:val="00235F25"/>
    <w:rsid w:val="00236BA1"/>
    <w:rsid w:val="00240C36"/>
    <w:rsid w:val="002431D5"/>
    <w:rsid w:val="0024524E"/>
    <w:rsid w:val="00245F43"/>
    <w:rsid w:val="00246F30"/>
    <w:rsid w:val="00253D0E"/>
    <w:rsid w:val="00255C3D"/>
    <w:rsid w:val="00256974"/>
    <w:rsid w:val="00256E8E"/>
    <w:rsid w:val="0026077B"/>
    <w:rsid w:val="00261EF6"/>
    <w:rsid w:val="00263B40"/>
    <w:rsid w:val="00263DCD"/>
    <w:rsid w:val="00264DBD"/>
    <w:rsid w:val="002653D1"/>
    <w:rsid w:val="00274009"/>
    <w:rsid w:val="0027423D"/>
    <w:rsid w:val="00275169"/>
    <w:rsid w:val="00275A7E"/>
    <w:rsid w:val="00280049"/>
    <w:rsid w:val="0028009C"/>
    <w:rsid w:val="00284376"/>
    <w:rsid w:val="00285802"/>
    <w:rsid w:val="00290283"/>
    <w:rsid w:val="00291DA6"/>
    <w:rsid w:val="00292478"/>
    <w:rsid w:val="00292B6E"/>
    <w:rsid w:val="0029392F"/>
    <w:rsid w:val="002943F6"/>
    <w:rsid w:val="00296D40"/>
    <w:rsid w:val="00297044"/>
    <w:rsid w:val="00297B14"/>
    <w:rsid w:val="00297B43"/>
    <w:rsid w:val="002A130B"/>
    <w:rsid w:val="002A2FBD"/>
    <w:rsid w:val="002A5AAA"/>
    <w:rsid w:val="002B01C7"/>
    <w:rsid w:val="002B049B"/>
    <w:rsid w:val="002B1126"/>
    <w:rsid w:val="002B117A"/>
    <w:rsid w:val="002B13F1"/>
    <w:rsid w:val="002B1788"/>
    <w:rsid w:val="002B2186"/>
    <w:rsid w:val="002B26B9"/>
    <w:rsid w:val="002B282C"/>
    <w:rsid w:val="002B4CCF"/>
    <w:rsid w:val="002B5B0F"/>
    <w:rsid w:val="002B7CF5"/>
    <w:rsid w:val="002C233A"/>
    <w:rsid w:val="002C2D8A"/>
    <w:rsid w:val="002C5A73"/>
    <w:rsid w:val="002C5D59"/>
    <w:rsid w:val="002C75E3"/>
    <w:rsid w:val="002D34E0"/>
    <w:rsid w:val="002D438A"/>
    <w:rsid w:val="002D656C"/>
    <w:rsid w:val="002D695C"/>
    <w:rsid w:val="002E3A29"/>
    <w:rsid w:val="002E4A19"/>
    <w:rsid w:val="002F012F"/>
    <w:rsid w:val="002F0886"/>
    <w:rsid w:val="002F4690"/>
    <w:rsid w:val="002F4F69"/>
    <w:rsid w:val="00300098"/>
    <w:rsid w:val="0030116F"/>
    <w:rsid w:val="0030739D"/>
    <w:rsid w:val="00311FB4"/>
    <w:rsid w:val="00312B1A"/>
    <w:rsid w:val="00312B88"/>
    <w:rsid w:val="00313A31"/>
    <w:rsid w:val="0031463B"/>
    <w:rsid w:val="00315A42"/>
    <w:rsid w:val="00316D8E"/>
    <w:rsid w:val="0032019B"/>
    <w:rsid w:val="0032084C"/>
    <w:rsid w:val="00322900"/>
    <w:rsid w:val="003247EB"/>
    <w:rsid w:val="00324E25"/>
    <w:rsid w:val="0032555E"/>
    <w:rsid w:val="00325BD9"/>
    <w:rsid w:val="00330A03"/>
    <w:rsid w:val="00331033"/>
    <w:rsid w:val="00331A46"/>
    <w:rsid w:val="003328D9"/>
    <w:rsid w:val="00332EB6"/>
    <w:rsid w:val="00332FD2"/>
    <w:rsid w:val="00333158"/>
    <w:rsid w:val="00333F52"/>
    <w:rsid w:val="00337EE4"/>
    <w:rsid w:val="0034053F"/>
    <w:rsid w:val="003415D0"/>
    <w:rsid w:val="003416DA"/>
    <w:rsid w:val="00346111"/>
    <w:rsid w:val="003466C2"/>
    <w:rsid w:val="00347B95"/>
    <w:rsid w:val="00351279"/>
    <w:rsid w:val="003513F7"/>
    <w:rsid w:val="0035218B"/>
    <w:rsid w:val="00353AE2"/>
    <w:rsid w:val="00354F11"/>
    <w:rsid w:val="00357170"/>
    <w:rsid w:val="00360835"/>
    <w:rsid w:val="00360D5D"/>
    <w:rsid w:val="00360F55"/>
    <w:rsid w:val="00360F7E"/>
    <w:rsid w:val="00361A20"/>
    <w:rsid w:val="003625F6"/>
    <w:rsid w:val="003632EC"/>
    <w:rsid w:val="00366548"/>
    <w:rsid w:val="00366D0E"/>
    <w:rsid w:val="00367407"/>
    <w:rsid w:val="003703FC"/>
    <w:rsid w:val="00374234"/>
    <w:rsid w:val="003742AD"/>
    <w:rsid w:val="003766F1"/>
    <w:rsid w:val="00376829"/>
    <w:rsid w:val="00382930"/>
    <w:rsid w:val="0038557E"/>
    <w:rsid w:val="00386300"/>
    <w:rsid w:val="00387092"/>
    <w:rsid w:val="003901F0"/>
    <w:rsid w:val="00391B09"/>
    <w:rsid w:val="0039461E"/>
    <w:rsid w:val="00396A89"/>
    <w:rsid w:val="0039708A"/>
    <w:rsid w:val="003A1502"/>
    <w:rsid w:val="003A22D1"/>
    <w:rsid w:val="003A3B47"/>
    <w:rsid w:val="003A4344"/>
    <w:rsid w:val="003A55B5"/>
    <w:rsid w:val="003A62CB"/>
    <w:rsid w:val="003A791E"/>
    <w:rsid w:val="003B3E3B"/>
    <w:rsid w:val="003B5A30"/>
    <w:rsid w:val="003B76D1"/>
    <w:rsid w:val="003C33A0"/>
    <w:rsid w:val="003C370D"/>
    <w:rsid w:val="003C47C6"/>
    <w:rsid w:val="003C4988"/>
    <w:rsid w:val="003C58FE"/>
    <w:rsid w:val="003C686D"/>
    <w:rsid w:val="003C7B2E"/>
    <w:rsid w:val="003D4BB1"/>
    <w:rsid w:val="003D6648"/>
    <w:rsid w:val="003E05D7"/>
    <w:rsid w:val="003E12BD"/>
    <w:rsid w:val="003E34FB"/>
    <w:rsid w:val="003E3743"/>
    <w:rsid w:val="003E4868"/>
    <w:rsid w:val="003E4F8D"/>
    <w:rsid w:val="003E50A6"/>
    <w:rsid w:val="003F068B"/>
    <w:rsid w:val="003F1BD7"/>
    <w:rsid w:val="003F51EB"/>
    <w:rsid w:val="003F582C"/>
    <w:rsid w:val="003F7C1F"/>
    <w:rsid w:val="00400365"/>
    <w:rsid w:val="004019CB"/>
    <w:rsid w:val="0040299C"/>
    <w:rsid w:val="004045FA"/>
    <w:rsid w:val="00405738"/>
    <w:rsid w:val="00410AEC"/>
    <w:rsid w:val="00411305"/>
    <w:rsid w:val="004133F4"/>
    <w:rsid w:val="004154CB"/>
    <w:rsid w:val="00415FE7"/>
    <w:rsid w:val="00420CD1"/>
    <w:rsid w:val="00421F33"/>
    <w:rsid w:val="004221FC"/>
    <w:rsid w:val="00423E3E"/>
    <w:rsid w:val="00424FB8"/>
    <w:rsid w:val="00425D0A"/>
    <w:rsid w:val="00430336"/>
    <w:rsid w:val="00431C62"/>
    <w:rsid w:val="0043259E"/>
    <w:rsid w:val="00435949"/>
    <w:rsid w:val="00435F94"/>
    <w:rsid w:val="004373EC"/>
    <w:rsid w:val="00443710"/>
    <w:rsid w:val="00445252"/>
    <w:rsid w:val="004457BB"/>
    <w:rsid w:val="004458F4"/>
    <w:rsid w:val="004508A0"/>
    <w:rsid w:val="00450F82"/>
    <w:rsid w:val="00451DCE"/>
    <w:rsid w:val="00451EEA"/>
    <w:rsid w:val="0045232F"/>
    <w:rsid w:val="004554F2"/>
    <w:rsid w:val="004613CC"/>
    <w:rsid w:val="004631A4"/>
    <w:rsid w:val="004651C9"/>
    <w:rsid w:val="00466223"/>
    <w:rsid w:val="004714A5"/>
    <w:rsid w:val="00473F4A"/>
    <w:rsid w:val="004743A4"/>
    <w:rsid w:val="00474883"/>
    <w:rsid w:val="004757BE"/>
    <w:rsid w:val="00480119"/>
    <w:rsid w:val="004819A4"/>
    <w:rsid w:val="0048227B"/>
    <w:rsid w:val="0048423C"/>
    <w:rsid w:val="00484944"/>
    <w:rsid w:val="004859AA"/>
    <w:rsid w:val="00486AC2"/>
    <w:rsid w:val="00487383"/>
    <w:rsid w:val="004877F6"/>
    <w:rsid w:val="004878B6"/>
    <w:rsid w:val="0049068B"/>
    <w:rsid w:val="00490736"/>
    <w:rsid w:val="004908F8"/>
    <w:rsid w:val="00491A1A"/>
    <w:rsid w:val="004920FA"/>
    <w:rsid w:val="00492CD7"/>
    <w:rsid w:val="00492F19"/>
    <w:rsid w:val="0049542E"/>
    <w:rsid w:val="00495599"/>
    <w:rsid w:val="00497452"/>
    <w:rsid w:val="004A10B5"/>
    <w:rsid w:val="004A2E17"/>
    <w:rsid w:val="004A3D50"/>
    <w:rsid w:val="004A3E9D"/>
    <w:rsid w:val="004A4961"/>
    <w:rsid w:val="004A4B88"/>
    <w:rsid w:val="004A4C5C"/>
    <w:rsid w:val="004A5CC5"/>
    <w:rsid w:val="004A5EF2"/>
    <w:rsid w:val="004B082F"/>
    <w:rsid w:val="004B0B03"/>
    <w:rsid w:val="004B0BA3"/>
    <w:rsid w:val="004B3F3B"/>
    <w:rsid w:val="004B4A66"/>
    <w:rsid w:val="004C09C5"/>
    <w:rsid w:val="004C1000"/>
    <w:rsid w:val="004C202A"/>
    <w:rsid w:val="004C35A3"/>
    <w:rsid w:val="004C3E60"/>
    <w:rsid w:val="004C5A02"/>
    <w:rsid w:val="004C697F"/>
    <w:rsid w:val="004D1073"/>
    <w:rsid w:val="004D23D7"/>
    <w:rsid w:val="004D2737"/>
    <w:rsid w:val="004D2ABA"/>
    <w:rsid w:val="004D3022"/>
    <w:rsid w:val="004E0814"/>
    <w:rsid w:val="004E2200"/>
    <w:rsid w:val="004E222F"/>
    <w:rsid w:val="004E2850"/>
    <w:rsid w:val="004E3B06"/>
    <w:rsid w:val="004E48A3"/>
    <w:rsid w:val="004E48F2"/>
    <w:rsid w:val="004E565A"/>
    <w:rsid w:val="004F0771"/>
    <w:rsid w:val="004F1083"/>
    <w:rsid w:val="004F13DB"/>
    <w:rsid w:val="004F20C9"/>
    <w:rsid w:val="004F4D33"/>
    <w:rsid w:val="004F6E82"/>
    <w:rsid w:val="00501252"/>
    <w:rsid w:val="00503A35"/>
    <w:rsid w:val="00506928"/>
    <w:rsid w:val="00507E38"/>
    <w:rsid w:val="005101A2"/>
    <w:rsid w:val="00512130"/>
    <w:rsid w:val="005139C0"/>
    <w:rsid w:val="00513E44"/>
    <w:rsid w:val="0051766C"/>
    <w:rsid w:val="00520801"/>
    <w:rsid w:val="00520E08"/>
    <w:rsid w:val="00521997"/>
    <w:rsid w:val="00523670"/>
    <w:rsid w:val="00524B4B"/>
    <w:rsid w:val="00525214"/>
    <w:rsid w:val="00526AB7"/>
    <w:rsid w:val="00533654"/>
    <w:rsid w:val="00533A52"/>
    <w:rsid w:val="00534E24"/>
    <w:rsid w:val="00535DCA"/>
    <w:rsid w:val="005410F9"/>
    <w:rsid w:val="00543F78"/>
    <w:rsid w:val="005453F2"/>
    <w:rsid w:val="005457AF"/>
    <w:rsid w:val="00546670"/>
    <w:rsid w:val="005535FF"/>
    <w:rsid w:val="00560A3C"/>
    <w:rsid w:val="00560AF2"/>
    <w:rsid w:val="0056192C"/>
    <w:rsid w:val="00561AB7"/>
    <w:rsid w:val="00563A9B"/>
    <w:rsid w:val="00563B79"/>
    <w:rsid w:val="0056583B"/>
    <w:rsid w:val="00567706"/>
    <w:rsid w:val="00567CCC"/>
    <w:rsid w:val="00570454"/>
    <w:rsid w:val="00571198"/>
    <w:rsid w:val="00573EB8"/>
    <w:rsid w:val="00574192"/>
    <w:rsid w:val="005741D4"/>
    <w:rsid w:val="0057422F"/>
    <w:rsid w:val="0057636F"/>
    <w:rsid w:val="005804C3"/>
    <w:rsid w:val="00584CE2"/>
    <w:rsid w:val="00585E7A"/>
    <w:rsid w:val="00586A69"/>
    <w:rsid w:val="00590C99"/>
    <w:rsid w:val="005918CF"/>
    <w:rsid w:val="005919B8"/>
    <w:rsid w:val="00591E13"/>
    <w:rsid w:val="0059362A"/>
    <w:rsid w:val="00594DC0"/>
    <w:rsid w:val="00595257"/>
    <w:rsid w:val="00595AC0"/>
    <w:rsid w:val="00595AC3"/>
    <w:rsid w:val="005967BB"/>
    <w:rsid w:val="00597360"/>
    <w:rsid w:val="005978B3"/>
    <w:rsid w:val="005A2B8A"/>
    <w:rsid w:val="005A2DD9"/>
    <w:rsid w:val="005A7950"/>
    <w:rsid w:val="005B0B50"/>
    <w:rsid w:val="005B1233"/>
    <w:rsid w:val="005B1B4F"/>
    <w:rsid w:val="005B7B3E"/>
    <w:rsid w:val="005C0246"/>
    <w:rsid w:val="005C08A6"/>
    <w:rsid w:val="005C1BDD"/>
    <w:rsid w:val="005C21EF"/>
    <w:rsid w:val="005C5D89"/>
    <w:rsid w:val="005C681D"/>
    <w:rsid w:val="005C7D24"/>
    <w:rsid w:val="005C7FE5"/>
    <w:rsid w:val="005D077F"/>
    <w:rsid w:val="005D1AA8"/>
    <w:rsid w:val="005D1FC3"/>
    <w:rsid w:val="005D2A7A"/>
    <w:rsid w:val="005D333B"/>
    <w:rsid w:val="005D3E15"/>
    <w:rsid w:val="005D5A52"/>
    <w:rsid w:val="005D72A0"/>
    <w:rsid w:val="005E2434"/>
    <w:rsid w:val="005E311D"/>
    <w:rsid w:val="005E3754"/>
    <w:rsid w:val="005E4884"/>
    <w:rsid w:val="005E609A"/>
    <w:rsid w:val="005E64DE"/>
    <w:rsid w:val="005F067F"/>
    <w:rsid w:val="005F4BE5"/>
    <w:rsid w:val="005F4EFD"/>
    <w:rsid w:val="005F5D2B"/>
    <w:rsid w:val="005F6F8D"/>
    <w:rsid w:val="00600355"/>
    <w:rsid w:val="0060152C"/>
    <w:rsid w:val="006021D4"/>
    <w:rsid w:val="00602686"/>
    <w:rsid w:val="00602D7D"/>
    <w:rsid w:val="00604BAA"/>
    <w:rsid w:val="00605182"/>
    <w:rsid w:val="00605867"/>
    <w:rsid w:val="00607A2D"/>
    <w:rsid w:val="0061129C"/>
    <w:rsid w:val="00613924"/>
    <w:rsid w:val="00613FBA"/>
    <w:rsid w:val="00614CFC"/>
    <w:rsid w:val="00615318"/>
    <w:rsid w:val="00615B00"/>
    <w:rsid w:val="00616C4B"/>
    <w:rsid w:val="00625060"/>
    <w:rsid w:val="00625834"/>
    <w:rsid w:val="006263FE"/>
    <w:rsid w:val="0062695E"/>
    <w:rsid w:val="006275FE"/>
    <w:rsid w:val="006304C3"/>
    <w:rsid w:val="006305B8"/>
    <w:rsid w:val="00632B91"/>
    <w:rsid w:val="00632EE7"/>
    <w:rsid w:val="00634C66"/>
    <w:rsid w:val="006359B6"/>
    <w:rsid w:val="0063683F"/>
    <w:rsid w:val="00636B1E"/>
    <w:rsid w:val="00637BCC"/>
    <w:rsid w:val="00641B0C"/>
    <w:rsid w:val="00644525"/>
    <w:rsid w:val="006445BF"/>
    <w:rsid w:val="00644E3E"/>
    <w:rsid w:val="006450C3"/>
    <w:rsid w:val="00646A76"/>
    <w:rsid w:val="006504B9"/>
    <w:rsid w:val="006505DE"/>
    <w:rsid w:val="0065098D"/>
    <w:rsid w:val="00654A09"/>
    <w:rsid w:val="00657FDC"/>
    <w:rsid w:val="006603DA"/>
    <w:rsid w:val="00660A83"/>
    <w:rsid w:val="00661411"/>
    <w:rsid w:val="00661738"/>
    <w:rsid w:val="00662278"/>
    <w:rsid w:val="0066245C"/>
    <w:rsid w:val="00663F07"/>
    <w:rsid w:val="0067216B"/>
    <w:rsid w:val="00672799"/>
    <w:rsid w:val="006741EA"/>
    <w:rsid w:val="006743B7"/>
    <w:rsid w:val="006743DA"/>
    <w:rsid w:val="006748BB"/>
    <w:rsid w:val="00683B58"/>
    <w:rsid w:val="00691262"/>
    <w:rsid w:val="00691CE1"/>
    <w:rsid w:val="00694F5C"/>
    <w:rsid w:val="00695694"/>
    <w:rsid w:val="00695B25"/>
    <w:rsid w:val="00696302"/>
    <w:rsid w:val="00696EAA"/>
    <w:rsid w:val="00697DEE"/>
    <w:rsid w:val="006A3EE3"/>
    <w:rsid w:val="006B0002"/>
    <w:rsid w:val="006B2C37"/>
    <w:rsid w:val="006B4554"/>
    <w:rsid w:val="006B4911"/>
    <w:rsid w:val="006B6699"/>
    <w:rsid w:val="006B69F9"/>
    <w:rsid w:val="006B7C7A"/>
    <w:rsid w:val="006C5EA3"/>
    <w:rsid w:val="006C5F89"/>
    <w:rsid w:val="006D23E8"/>
    <w:rsid w:val="006D570D"/>
    <w:rsid w:val="006D618B"/>
    <w:rsid w:val="006D7CD7"/>
    <w:rsid w:val="006E2288"/>
    <w:rsid w:val="006E3C71"/>
    <w:rsid w:val="006E6F28"/>
    <w:rsid w:val="006F37B3"/>
    <w:rsid w:val="006F5992"/>
    <w:rsid w:val="006F6F77"/>
    <w:rsid w:val="00701618"/>
    <w:rsid w:val="00701F47"/>
    <w:rsid w:val="007072D0"/>
    <w:rsid w:val="007128A1"/>
    <w:rsid w:val="007154D4"/>
    <w:rsid w:val="00716334"/>
    <w:rsid w:val="0071716E"/>
    <w:rsid w:val="00717DF1"/>
    <w:rsid w:val="00722070"/>
    <w:rsid w:val="00722798"/>
    <w:rsid w:val="007235A0"/>
    <w:rsid w:val="00724BA4"/>
    <w:rsid w:val="00724BEE"/>
    <w:rsid w:val="0072610C"/>
    <w:rsid w:val="00726A84"/>
    <w:rsid w:val="00726B30"/>
    <w:rsid w:val="0073587B"/>
    <w:rsid w:val="00736753"/>
    <w:rsid w:val="00740595"/>
    <w:rsid w:val="00747FE6"/>
    <w:rsid w:val="00750AA5"/>
    <w:rsid w:val="0075555F"/>
    <w:rsid w:val="00755604"/>
    <w:rsid w:val="007558DD"/>
    <w:rsid w:val="00755A94"/>
    <w:rsid w:val="00756847"/>
    <w:rsid w:val="007569BF"/>
    <w:rsid w:val="00757A10"/>
    <w:rsid w:val="007608C9"/>
    <w:rsid w:val="007631A8"/>
    <w:rsid w:val="00763685"/>
    <w:rsid w:val="007646C3"/>
    <w:rsid w:val="00764CED"/>
    <w:rsid w:val="00772329"/>
    <w:rsid w:val="00773ADC"/>
    <w:rsid w:val="00774CBA"/>
    <w:rsid w:val="00774FD8"/>
    <w:rsid w:val="007751C6"/>
    <w:rsid w:val="00775CD3"/>
    <w:rsid w:val="00780827"/>
    <w:rsid w:val="00781DFB"/>
    <w:rsid w:val="00782662"/>
    <w:rsid w:val="007837EB"/>
    <w:rsid w:val="0078434F"/>
    <w:rsid w:val="00784768"/>
    <w:rsid w:val="00784A06"/>
    <w:rsid w:val="00785140"/>
    <w:rsid w:val="00787F82"/>
    <w:rsid w:val="0079481C"/>
    <w:rsid w:val="007970D1"/>
    <w:rsid w:val="007A1D83"/>
    <w:rsid w:val="007A5B9F"/>
    <w:rsid w:val="007A6F09"/>
    <w:rsid w:val="007A72E7"/>
    <w:rsid w:val="007B0578"/>
    <w:rsid w:val="007B0880"/>
    <w:rsid w:val="007B338D"/>
    <w:rsid w:val="007B4224"/>
    <w:rsid w:val="007B4437"/>
    <w:rsid w:val="007B4D46"/>
    <w:rsid w:val="007B5551"/>
    <w:rsid w:val="007B6652"/>
    <w:rsid w:val="007C0572"/>
    <w:rsid w:val="007C3D69"/>
    <w:rsid w:val="007C54FF"/>
    <w:rsid w:val="007C651B"/>
    <w:rsid w:val="007C6B4E"/>
    <w:rsid w:val="007C7DEB"/>
    <w:rsid w:val="007D0B60"/>
    <w:rsid w:val="007D4045"/>
    <w:rsid w:val="007D4124"/>
    <w:rsid w:val="007D490D"/>
    <w:rsid w:val="007D76A2"/>
    <w:rsid w:val="007E1162"/>
    <w:rsid w:val="007E4A69"/>
    <w:rsid w:val="007E7BBF"/>
    <w:rsid w:val="007F06CD"/>
    <w:rsid w:val="007F1D99"/>
    <w:rsid w:val="007F526D"/>
    <w:rsid w:val="007F5802"/>
    <w:rsid w:val="007F6163"/>
    <w:rsid w:val="00800471"/>
    <w:rsid w:val="00802F4E"/>
    <w:rsid w:val="00804055"/>
    <w:rsid w:val="00804504"/>
    <w:rsid w:val="008058CD"/>
    <w:rsid w:val="00805C4A"/>
    <w:rsid w:val="00807C1E"/>
    <w:rsid w:val="00807C26"/>
    <w:rsid w:val="0081105C"/>
    <w:rsid w:val="008129AA"/>
    <w:rsid w:val="00814C8F"/>
    <w:rsid w:val="00817561"/>
    <w:rsid w:val="008204E6"/>
    <w:rsid w:val="00820A05"/>
    <w:rsid w:val="00830270"/>
    <w:rsid w:val="00831072"/>
    <w:rsid w:val="00831D05"/>
    <w:rsid w:val="00834085"/>
    <w:rsid w:val="00835588"/>
    <w:rsid w:val="008360E0"/>
    <w:rsid w:val="00836173"/>
    <w:rsid w:val="008372AC"/>
    <w:rsid w:val="008377B5"/>
    <w:rsid w:val="00844C89"/>
    <w:rsid w:val="0084669C"/>
    <w:rsid w:val="008475E0"/>
    <w:rsid w:val="00850A9C"/>
    <w:rsid w:val="00851726"/>
    <w:rsid w:val="00854367"/>
    <w:rsid w:val="0085437A"/>
    <w:rsid w:val="0085629F"/>
    <w:rsid w:val="00860C7E"/>
    <w:rsid w:val="00861798"/>
    <w:rsid w:val="00861AD6"/>
    <w:rsid w:val="00865D56"/>
    <w:rsid w:val="00871586"/>
    <w:rsid w:val="00872592"/>
    <w:rsid w:val="0087387E"/>
    <w:rsid w:val="00874633"/>
    <w:rsid w:val="00874C33"/>
    <w:rsid w:val="00875FF2"/>
    <w:rsid w:val="00876DE4"/>
    <w:rsid w:val="00880533"/>
    <w:rsid w:val="00880785"/>
    <w:rsid w:val="00880F72"/>
    <w:rsid w:val="00882792"/>
    <w:rsid w:val="00883241"/>
    <w:rsid w:val="008857C4"/>
    <w:rsid w:val="0089058B"/>
    <w:rsid w:val="00892F15"/>
    <w:rsid w:val="00893F58"/>
    <w:rsid w:val="008964D3"/>
    <w:rsid w:val="00896BAE"/>
    <w:rsid w:val="0089767B"/>
    <w:rsid w:val="00897CCF"/>
    <w:rsid w:val="00897DC4"/>
    <w:rsid w:val="008A0F33"/>
    <w:rsid w:val="008A4E6E"/>
    <w:rsid w:val="008A59EC"/>
    <w:rsid w:val="008A6288"/>
    <w:rsid w:val="008A6CA4"/>
    <w:rsid w:val="008B111E"/>
    <w:rsid w:val="008B11EF"/>
    <w:rsid w:val="008B23CA"/>
    <w:rsid w:val="008B3353"/>
    <w:rsid w:val="008B3415"/>
    <w:rsid w:val="008B36FB"/>
    <w:rsid w:val="008B4F99"/>
    <w:rsid w:val="008B5388"/>
    <w:rsid w:val="008C0384"/>
    <w:rsid w:val="008C0C1F"/>
    <w:rsid w:val="008C1DB1"/>
    <w:rsid w:val="008C2200"/>
    <w:rsid w:val="008C23BD"/>
    <w:rsid w:val="008C35DF"/>
    <w:rsid w:val="008C55A8"/>
    <w:rsid w:val="008D017C"/>
    <w:rsid w:val="008D14CA"/>
    <w:rsid w:val="008D198B"/>
    <w:rsid w:val="008D2799"/>
    <w:rsid w:val="008D3615"/>
    <w:rsid w:val="008D4C1E"/>
    <w:rsid w:val="008D5627"/>
    <w:rsid w:val="008D5A31"/>
    <w:rsid w:val="008D6821"/>
    <w:rsid w:val="008D7298"/>
    <w:rsid w:val="008E19B0"/>
    <w:rsid w:val="008E1CC1"/>
    <w:rsid w:val="008E1D9C"/>
    <w:rsid w:val="008E257C"/>
    <w:rsid w:val="008E3B18"/>
    <w:rsid w:val="008E442F"/>
    <w:rsid w:val="008E54F3"/>
    <w:rsid w:val="008E7EA2"/>
    <w:rsid w:val="008F0684"/>
    <w:rsid w:val="008F17FE"/>
    <w:rsid w:val="008F183C"/>
    <w:rsid w:val="009044B6"/>
    <w:rsid w:val="00907357"/>
    <w:rsid w:val="00907C25"/>
    <w:rsid w:val="009109AC"/>
    <w:rsid w:val="0091145E"/>
    <w:rsid w:val="00913C3F"/>
    <w:rsid w:val="00915757"/>
    <w:rsid w:val="009160EF"/>
    <w:rsid w:val="00916129"/>
    <w:rsid w:val="00917601"/>
    <w:rsid w:val="009178B0"/>
    <w:rsid w:val="00920DC1"/>
    <w:rsid w:val="009254BD"/>
    <w:rsid w:val="009304D3"/>
    <w:rsid w:val="009319F3"/>
    <w:rsid w:val="009334E5"/>
    <w:rsid w:val="00933CC8"/>
    <w:rsid w:val="00933FD5"/>
    <w:rsid w:val="009358B2"/>
    <w:rsid w:val="00936260"/>
    <w:rsid w:val="0094173D"/>
    <w:rsid w:val="00941D28"/>
    <w:rsid w:val="00942352"/>
    <w:rsid w:val="00942EF6"/>
    <w:rsid w:val="009447BB"/>
    <w:rsid w:val="009454B0"/>
    <w:rsid w:val="009463A0"/>
    <w:rsid w:val="00946C07"/>
    <w:rsid w:val="00950EBC"/>
    <w:rsid w:val="009516D7"/>
    <w:rsid w:val="00954032"/>
    <w:rsid w:val="00954270"/>
    <w:rsid w:val="00956834"/>
    <w:rsid w:val="009602BA"/>
    <w:rsid w:val="009657E3"/>
    <w:rsid w:val="00965B1B"/>
    <w:rsid w:val="009704EB"/>
    <w:rsid w:val="00972A38"/>
    <w:rsid w:val="009746C0"/>
    <w:rsid w:val="00974B2A"/>
    <w:rsid w:val="00974C38"/>
    <w:rsid w:val="009767C2"/>
    <w:rsid w:val="00977183"/>
    <w:rsid w:val="009800A2"/>
    <w:rsid w:val="00985A83"/>
    <w:rsid w:val="009867A9"/>
    <w:rsid w:val="00987C5B"/>
    <w:rsid w:val="009903B5"/>
    <w:rsid w:val="00991806"/>
    <w:rsid w:val="00992072"/>
    <w:rsid w:val="00994CED"/>
    <w:rsid w:val="00995B67"/>
    <w:rsid w:val="009A16B5"/>
    <w:rsid w:val="009A1943"/>
    <w:rsid w:val="009A20C9"/>
    <w:rsid w:val="009A2E4F"/>
    <w:rsid w:val="009A2EF1"/>
    <w:rsid w:val="009A30E0"/>
    <w:rsid w:val="009A3C8A"/>
    <w:rsid w:val="009A5836"/>
    <w:rsid w:val="009A5E66"/>
    <w:rsid w:val="009A7979"/>
    <w:rsid w:val="009B0745"/>
    <w:rsid w:val="009B0B3D"/>
    <w:rsid w:val="009B1D5B"/>
    <w:rsid w:val="009B384B"/>
    <w:rsid w:val="009B4B2D"/>
    <w:rsid w:val="009B7494"/>
    <w:rsid w:val="009C1730"/>
    <w:rsid w:val="009C2D70"/>
    <w:rsid w:val="009C3216"/>
    <w:rsid w:val="009C39AC"/>
    <w:rsid w:val="009C47E4"/>
    <w:rsid w:val="009C52E1"/>
    <w:rsid w:val="009C78FF"/>
    <w:rsid w:val="009D1C27"/>
    <w:rsid w:val="009D1D6E"/>
    <w:rsid w:val="009D6B5C"/>
    <w:rsid w:val="009D71D2"/>
    <w:rsid w:val="009D7388"/>
    <w:rsid w:val="009D7878"/>
    <w:rsid w:val="009D7F75"/>
    <w:rsid w:val="009E10C5"/>
    <w:rsid w:val="009E4B07"/>
    <w:rsid w:val="009E642A"/>
    <w:rsid w:val="009F1472"/>
    <w:rsid w:val="009F2E75"/>
    <w:rsid w:val="009F3204"/>
    <w:rsid w:val="009F67F8"/>
    <w:rsid w:val="009F7DE0"/>
    <w:rsid w:val="00A00026"/>
    <w:rsid w:val="00A02C62"/>
    <w:rsid w:val="00A0400A"/>
    <w:rsid w:val="00A056DC"/>
    <w:rsid w:val="00A061F6"/>
    <w:rsid w:val="00A0685A"/>
    <w:rsid w:val="00A06E33"/>
    <w:rsid w:val="00A07300"/>
    <w:rsid w:val="00A10FEF"/>
    <w:rsid w:val="00A11A06"/>
    <w:rsid w:val="00A1531B"/>
    <w:rsid w:val="00A15880"/>
    <w:rsid w:val="00A15BD3"/>
    <w:rsid w:val="00A15D8A"/>
    <w:rsid w:val="00A172D9"/>
    <w:rsid w:val="00A21C40"/>
    <w:rsid w:val="00A2345E"/>
    <w:rsid w:val="00A30EF7"/>
    <w:rsid w:val="00A351B9"/>
    <w:rsid w:val="00A43014"/>
    <w:rsid w:val="00A4436B"/>
    <w:rsid w:val="00A45004"/>
    <w:rsid w:val="00A458EB"/>
    <w:rsid w:val="00A45989"/>
    <w:rsid w:val="00A463C2"/>
    <w:rsid w:val="00A51715"/>
    <w:rsid w:val="00A518EA"/>
    <w:rsid w:val="00A52EF5"/>
    <w:rsid w:val="00A530FB"/>
    <w:rsid w:val="00A54905"/>
    <w:rsid w:val="00A575BC"/>
    <w:rsid w:val="00A61E71"/>
    <w:rsid w:val="00A61EE5"/>
    <w:rsid w:val="00A63915"/>
    <w:rsid w:val="00A63C9D"/>
    <w:rsid w:val="00A648C7"/>
    <w:rsid w:val="00A6670C"/>
    <w:rsid w:val="00A672AE"/>
    <w:rsid w:val="00A67382"/>
    <w:rsid w:val="00A705CB"/>
    <w:rsid w:val="00A71740"/>
    <w:rsid w:val="00A71D18"/>
    <w:rsid w:val="00A71F00"/>
    <w:rsid w:val="00A72A92"/>
    <w:rsid w:val="00A7493F"/>
    <w:rsid w:val="00A74DB9"/>
    <w:rsid w:val="00A74EA9"/>
    <w:rsid w:val="00A7758D"/>
    <w:rsid w:val="00A778D2"/>
    <w:rsid w:val="00A80A54"/>
    <w:rsid w:val="00A819EA"/>
    <w:rsid w:val="00A820A0"/>
    <w:rsid w:val="00A844D2"/>
    <w:rsid w:val="00A847A4"/>
    <w:rsid w:val="00A8569D"/>
    <w:rsid w:val="00A91656"/>
    <w:rsid w:val="00A91F6E"/>
    <w:rsid w:val="00A92FE0"/>
    <w:rsid w:val="00A93502"/>
    <w:rsid w:val="00A97B28"/>
    <w:rsid w:val="00AA12FF"/>
    <w:rsid w:val="00AA23E6"/>
    <w:rsid w:val="00AA3F98"/>
    <w:rsid w:val="00AA4539"/>
    <w:rsid w:val="00AA7DF8"/>
    <w:rsid w:val="00AB11F2"/>
    <w:rsid w:val="00AB225A"/>
    <w:rsid w:val="00AB41EF"/>
    <w:rsid w:val="00AB58AB"/>
    <w:rsid w:val="00AB6EDB"/>
    <w:rsid w:val="00AC02D5"/>
    <w:rsid w:val="00AC1959"/>
    <w:rsid w:val="00AC1C0A"/>
    <w:rsid w:val="00AC3709"/>
    <w:rsid w:val="00AC3D9C"/>
    <w:rsid w:val="00AC63D2"/>
    <w:rsid w:val="00AC7E30"/>
    <w:rsid w:val="00AD1D71"/>
    <w:rsid w:val="00AD26C4"/>
    <w:rsid w:val="00AD3401"/>
    <w:rsid w:val="00AD4317"/>
    <w:rsid w:val="00AD4A32"/>
    <w:rsid w:val="00AD5490"/>
    <w:rsid w:val="00AD66B8"/>
    <w:rsid w:val="00AE0A36"/>
    <w:rsid w:val="00AE30D2"/>
    <w:rsid w:val="00AE3498"/>
    <w:rsid w:val="00AE47A8"/>
    <w:rsid w:val="00AE7C55"/>
    <w:rsid w:val="00AE7E24"/>
    <w:rsid w:val="00AF1B64"/>
    <w:rsid w:val="00AF3B31"/>
    <w:rsid w:val="00AF3C62"/>
    <w:rsid w:val="00AF4C18"/>
    <w:rsid w:val="00AF50B1"/>
    <w:rsid w:val="00AF5BD1"/>
    <w:rsid w:val="00AF5EF6"/>
    <w:rsid w:val="00AF7375"/>
    <w:rsid w:val="00B00BA7"/>
    <w:rsid w:val="00B03C92"/>
    <w:rsid w:val="00B04361"/>
    <w:rsid w:val="00B055B0"/>
    <w:rsid w:val="00B07AE6"/>
    <w:rsid w:val="00B1171C"/>
    <w:rsid w:val="00B1269E"/>
    <w:rsid w:val="00B13E0C"/>
    <w:rsid w:val="00B13FF4"/>
    <w:rsid w:val="00B17B6E"/>
    <w:rsid w:val="00B20B3C"/>
    <w:rsid w:val="00B253EA"/>
    <w:rsid w:val="00B259E2"/>
    <w:rsid w:val="00B273DD"/>
    <w:rsid w:val="00B27D0F"/>
    <w:rsid w:val="00B32A92"/>
    <w:rsid w:val="00B32E84"/>
    <w:rsid w:val="00B335C8"/>
    <w:rsid w:val="00B3482C"/>
    <w:rsid w:val="00B34920"/>
    <w:rsid w:val="00B37E9C"/>
    <w:rsid w:val="00B415A4"/>
    <w:rsid w:val="00B41BC6"/>
    <w:rsid w:val="00B430B1"/>
    <w:rsid w:val="00B44208"/>
    <w:rsid w:val="00B47711"/>
    <w:rsid w:val="00B51CCD"/>
    <w:rsid w:val="00B51E76"/>
    <w:rsid w:val="00B5266B"/>
    <w:rsid w:val="00B52B0E"/>
    <w:rsid w:val="00B62DF0"/>
    <w:rsid w:val="00B648D6"/>
    <w:rsid w:val="00B66F00"/>
    <w:rsid w:val="00B6750E"/>
    <w:rsid w:val="00B72151"/>
    <w:rsid w:val="00B72F5E"/>
    <w:rsid w:val="00B7605B"/>
    <w:rsid w:val="00B761A4"/>
    <w:rsid w:val="00B77770"/>
    <w:rsid w:val="00B77896"/>
    <w:rsid w:val="00B82307"/>
    <w:rsid w:val="00B84074"/>
    <w:rsid w:val="00B84C8E"/>
    <w:rsid w:val="00B85740"/>
    <w:rsid w:val="00B85EC7"/>
    <w:rsid w:val="00B8796C"/>
    <w:rsid w:val="00B931E0"/>
    <w:rsid w:val="00B93F81"/>
    <w:rsid w:val="00B94A77"/>
    <w:rsid w:val="00B94F61"/>
    <w:rsid w:val="00B9536F"/>
    <w:rsid w:val="00B97B04"/>
    <w:rsid w:val="00BA19F6"/>
    <w:rsid w:val="00BA1E81"/>
    <w:rsid w:val="00BA3441"/>
    <w:rsid w:val="00BA4852"/>
    <w:rsid w:val="00BA55F2"/>
    <w:rsid w:val="00BA71D7"/>
    <w:rsid w:val="00BB0ED2"/>
    <w:rsid w:val="00BB1F41"/>
    <w:rsid w:val="00BB3DFC"/>
    <w:rsid w:val="00BB565D"/>
    <w:rsid w:val="00BB72BE"/>
    <w:rsid w:val="00BC1A5E"/>
    <w:rsid w:val="00BC49A6"/>
    <w:rsid w:val="00BC6059"/>
    <w:rsid w:val="00BC6B9D"/>
    <w:rsid w:val="00BE2245"/>
    <w:rsid w:val="00BE2303"/>
    <w:rsid w:val="00BE466B"/>
    <w:rsid w:val="00BE46EC"/>
    <w:rsid w:val="00BE4CF3"/>
    <w:rsid w:val="00BE7C8D"/>
    <w:rsid w:val="00BF008C"/>
    <w:rsid w:val="00BF016C"/>
    <w:rsid w:val="00BF1869"/>
    <w:rsid w:val="00BF3E7B"/>
    <w:rsid w:val="00C01DA1"/>
    <w:rsid w:val="00C04B27"/>
    <w:rsid w:val="00C10344"/>
    <w:rsid w:val="00C1191D"/>
    <w:rsid w:val="00C11E09"/>
    <w:rsid w:val="00C12063"/>
    <w:rsid w:val="00C136F4"/>
    <w:rsid w:val="00C13DCA"/>
    <w:rsid w:val="00C15B4C"/>
    <w:rsid w:val="00C165FD"/>
    <w:rsid w:val="00C16A7B"/>
    <w:rsid w:val="00C16E80"/>
    <w:rsid w:val="00C202E7"/>
    <w:rsid w:val="00C21A2C"/>
    <w:rsid w:val="00C21C60"/>
    <w:rsid w:val="00C21CAE"/>
    <w:rsid w:val="00C22734"/>
    <w:rsid w:val="00C2450D"/>
    <w:rsid w:val="00C248CC"/>
    <w:rsid w:val="00C24EC0"/>
    <w:rsid w:val="00C25587"/>
    <w:rsid w:val="00C30397"/>
    <w:rsid w:val="00C31524"/>
    <w:rsid w:val="00C3159F"/>
    <w:rsid w:val="00C3183D"/>
    <w:rsid w:val="00C331A6"/>
    <w:rsid w:val="00C334CF"/>
    <w:rsid w:val="00C33B13"/>
    <w:rsid w:val="00C35858"/>
    <w:rsid w:val="00C35E6A"/>
    <w:rsid w:val="00C378E2"/>
    <w:rsid w:val="00C37AFD"/>
    <w:rsid w:val="00C40CBD"/>
    <w:rsid w:val="00C41210"/>
    <w:rsid w:val="00C41904"/>
    <w:rsid w:val="00C42499"/>
    <w:rsid w:val="00C4588B"/>
    <w:rsid w:val="00C46946"/>
    <w:rsid w:val="00C47A9C"/>
    <w:rsid w:val="00C47F1E"/>
    <w:rsid w:val="00C512DA"/>
    <w:rsid w:val="00C5448D"/>
    <w:rsid w:val="00C55081"/>
    <w:rsid w:val="00C5643F"/>
    <w:rsid w:val="00C57998"/>
    <w:rsid w:val="00C61BB7"/>
    <w:rsid w:val="00C63288"/>
    <w:rsid w:val="00C650D1"/>
    <w:rsid w:val="00C67D55"/>
    <w:rsid w:val="00C67DBD"/>
    <w:rsid w:val="00C7138F"/>
    <w:rsid w:val="00C7193A"/>
    <w:rsid w:val="00C71CE2"/>
    <w:rsid w:val="00C73CF4"/>
    <w:rsid w:val="00C7533C"/>
    <w:rsid w:val="00C75F58"/>
    <w:rsid w:val="00C76E00"/>
    <w:rsid w:val="00C81A5F"/>
    <w:rsid w:val="00C836D5"/>
    <w:rsid w:val="00C86725"/>
    <w:rsid w:val="00C920FC"/>
    <w:rsid w:val="00C92C9A"/>
    <w:rsid w:val="00C9408E"/>
    <w:rsid w:val="00C9475F"/>
    <w:rsid w:val="00C94E70"/>
    <w:rsid w:val="00C96619"/>
    <w:rsid w:val="00C96E12"/>
    <w:rsid w:val="00C97C95"/>
    <w:rsid w:val="00CA1DF0"/>
    <w:rsid w:val="00CA2F43"/>
    <w:rsid w:val="00CA70B9"/>
    <w:rsid w:val="00CA73F8"/>
    <w:rsid w:val="00CA7FA4"/>
    <w:rsid w:val="00CB24C3"/>
    <w:rsid w:val="00CB25E4"/>
    <w:rsid w:val="00CB2750"/>
    <w:rsid w:val="00CB3F56"/>
    <w:rsid w:val="00CB4EB0"/>
    <w:rsid w:val="00CB70CB"/>
    <w:rsid w:val="00CC29FA"/>
    <w:rsid w:val="00CC4995"/>
    <w:rsid w:val="00CC63BF"/>
    <w:rsid w:val="00CD1BFA"/>
    <w:rsid w:val="00CD2BD3"/>
    <w:rsid w:val="00CD4416"/>
    <w:rsid w:val="00CD6F35"/>
    <w:rsid w:val="00CE0208"/>
    <w:rsid w:val="00CE0CA8"/>
    <w:rsid w:val="00CE25F7"/>
    <w:rsid w:val="00CE415A"/>
    <w:rsid w:val="00CE4289"/>
    <w:rsid w:val="00CE449B"/>
    <w:rsid w:val="00CE44C0"/>
    <w:rsid w:val="00CE48C3"/>
    <w:rsid w:val="00CE7A37"/>
    <w:rsid w:val="00CF11C9"/>
    <w:rsid w:val="00CF1A2C"/>
    <w:rsid w:val="00CF243C"/>
    <w:rsid w:val="00CF2FDF"/>
    <w:rsid w:val="00CF34A8"/>
    <w:rsid w:val="00CF491C"/>
    <w:rsid w:val="00CF69D6"/>
    <w:rsid w:val="00D00827"/>
    <w:rsid w:val="00D00BA9"/>
    <w:rsid w:val="00D02318"/>
    <w:rsid w:val="00D055F2"/>
    <w:rsid w:val="00D05621"/>
    <w:rsid w:val="00D07138"/>
    <w:rsid w:val="00D0737C"/>
    <w:rsid w:val="00D100A2"/>
    <w:rsid w:val="00D10AD7"/>
    <w:rsid w:val="00D1229E"/>
    <w:rsid w:val="00D14924"/>
    <w:rsid w:val="00D14F79"/>
    <w:rsid w:val="00D16146"/>
    <w:rsid w:val="00D16325"/>
    <w:rsid w:val="00D215A8"/>
    <w:rsid w:val="00D251CA"/>
    <w:rsid w:val="00D25408"/>
    <w:rsid w:val="00D325CF"/>
    <w:rsid w:val="00D36F02"/>
    <w:rsid w:val="00D37910"/>
    <w:rsid w:val="00D41E20"/>
    <w:rsid w:val="00D42401"/>
    <w:rsid w:val="00D43A91"/>
    <w:rsid w:val="00D51053"/>
    <w:rsid w:val="00D54A71"/>
    <w:rsid w:val="00D553E3"/>
    <w:rsid w:val="00D56758"/>
    <w:rsid w:val="00D57E14"/>
    <w:rsid w:val="00D60130"/>
    <w:rsid w:val="00D60228"/>
    <w:rsid w:val="00D60C84"/>
    <w:rsid w:val="00D61BF0"/>
    <w:rsid w:val="00D65090"/>
    <w:rsid w:val="00D70D71"/>
    <w:rsid w:val="00D71618"/>
    <w:rsid w:val="00D716BD"/>
    <w:rsid w:val="00D726E8"/>
    <w:rsid w:val="00D73379"/>
    <w:rsid w:val="00D734F6"/>
    <w:rsid w:val="00D74B7D"/>
    <w:rsid w:val="00D7558C"/>
    <w:rsid w:val="00D779AB"/>
    <w:rsid w:val="00D82CCF"/>
    <w:rsid w:val="00D83B07"/>
    <w:rsid w:val="00D84F10"/>
    <w:rsid w:val="00D9003E"/>
    <w:rsid w:val="00D92489"/>
    <w:rsid w:val="00D9344B"/>
    <w:rsid w:val="00D947A8"/>
    <w:rsid w:val="00D9589E"/>
    <w:rsid w:val="00D96D15"/>
    <w:rsid w:val="00DA051C"/>
    <w:rsid w:val="00DA0C5D"/>
    <w:rsid w:val="00DA1125"/>
    <w:rsid w:val="00DA1EFA"/>
    <w:rsid w:val="00DA26D4"/>
    <w:rsid w:val="00DA37FC"/>
    <w:rsid w:val="00DA3A5C"/>
    <w:rsid w:val="00DB629F"/>
    <w:rsid w:val="00DC1111"/>
    <w:rsid w:val="00DC1321"/>
    <w:rsid w:val="00DC17CF"/>
    <w:rsid w:val="00DC3E8A"/>
    <w:rsid w:val="00DC3EE8"/>
    <w:rsid w:val="00DC7652"/>
    <w:rsid w:val="00DD03DA"/>
    <w:rsid w:val="00DD264C"/>
    <w:rsid w:val="00DD29DD"/>
    <w:rsid w:val="00DD29EB"/>
    <w:rsid w:val="00DD5060"/>
    <w:rsid w:val="00DD5274"/>
    <w:rsid w:val="00DD6C3F"/>
    <w:rsid w:val="00DD6F65"/>
    <w:rsid w:val="00DD798C"/>
    <w:rsid w:val="00DE0BDB"/>
    <w:rsid w:val="00DE0D50"/>
    <w:rsid w:val="00DE1495"/>
    <w:rsid w:val="00DE37F3"/>
    <w:rsid w:val="00DE41B0"/>
    <w:rsid w:val="00DF0316"/>
    <w:rsid w:val="00DF23A1"/>
    <w:rsid w:val="00DF27AB"/>
    <w:rsid w:val="00DF3EEC"/>
    <w:rsid w:val="00E00C1D"/>
    <w:rsid w:val="00E01382"/>
    <w:rsid w:val="00E02E3B"/>
    <w:rsid w:val="00E0536C"/>
    <w:rsid w:val="00E05D8C"/>
    <w:rsid w:val="00E113A1"/>
    <w:rsid w:val="00E11547"/>
    <w:rsid w:val="00E117C8"/>
    <w:rsid w:val="00E12AFC"/>
    <w:rsid w:val="00E13472"/>
    <w:rsid w:val="00E1395B"/>
    <w:rsid w:val="00E1398B"/>
    <w:rsid w:val="00E1454A"/>
    <w:rsid w:val="00E1669C"/>
    <w:rsid w:val="00E17F90"/>
    <w:rsid w:val="00E23036"/>
    <w:rsid w:val="00E23A81"/>
    <w:rsid w:val="00E33B7F"/>
    <w:rsid w:val="00E401F0"/>
    <w:rsid w:val="00E40A6F"/>
    <w:rsid w:val="00E43E7E"/>
    <w:rsid w:val="00E44184"/>
    <w:rsid w:val="00E44856"/>
    <w:rsid w:val="00E4688C"/>
    <w:rsid w:val="00E54519"/>
    <w:rsid w:val="00E5494E"/>
    <w:rsid w:val="00E556A4"/>
    <w:rsid w:val="00E567C7"/>
    <w:rsid w:val="00E60F0A"/>
    <w:rsid w:val="00E61BD8"/>
    <w:rsid w:val="00E63473"/>
    <w:rsid w:val="00E650EF"/>
    <w:rsid w:val="00E7129C"/>
    <w:rsid w:val="00E72D62"/>
    <w:rsid w:val="00E75F9B"/>
    <w:rsid w:val="00E77D8D"/>
    <w:rsid w:val="00E82588"/>
    <w:rsid w:val="00E82E6F"/>
    <w:rsid w:val="00E84A64"/>
    <w:rsid w:val="00E859BE"/>
    <w:rsid w:val="00E862AD"/>
    <w:rsid w:val="00E86AB2"/>
    <w:rsid w:val="00E86B36"/>
    <w:rsid w:val="00E86C06"/>
    <w:rsid w:val="00E90D01"/>
    <w:rsid w:val="00E93286"/>
    <w:rsid w:val="00E95C5B"/>
    <w:rsid w:val="00E96EB2"/>
    <w:rsid w:val="00EA0D70"/>
    <w:rsid w:val="00EA0E60"/>
    <w:rsid w:val="00EA2282"/>
    <w:rsid w:val="00EA454C"/>
    <w:rsid w:val="00EA524F"/>
    <w:rsid w:val="00EA633B"/>
    <w:rsid w:val="00EB099B"/>
    <w:rsid w:val="00EB1414"/>
    <w:rsid w:val="00EB1EFF"/>
    <w:rsid w:val="00EB6C6B"/>
    <w:rsid w:val="00EB7329"/>
    <w:rsid w:val="00EC19AF"/>
    <w:rsid w:val="00EC77DE"/>
    <w:rsid w:val="00ED030E"/>
    <w:rsid w:val="00ED0385"/>
    <w:rsid w:val="00ED044C"/>
    <w:rsid w:val="00ED0D69"/>
    <w:rsid w:val="00ED3A69"/>
    <w:rsid w:val="00ED7069"/>
    <w:rsid w:val="00EE0653"/>
    <w:rsid w:val="00EE2778"/>
    <w:rsid w:val="00EE587D"/>
    <w:rsid w:val="00EF17FE"/>
    <w:rsid w:val="00EF30A0"/>
    <w:rsid w:val="00EF41CC"/>
    <w:rsid w:val="00EF4FC7"/>
    <w:rsid w:val="00EF511F"/>
    <w:rsid w:val="00EF572B"/>
    <w:rsid w:val="00EF79AF"/>
    <w:rsid w:val="00F02C9C"/>
    <w:rsid w:val="00F044D7"/>
    <w:rsid w:val="00F0672D"/>
    <w:rsid w:val="00F0727A"/>
    <w:rsid w:val="00F07424"/>
    <w:rsid w:val="00F0751B"/>
    <w:rsid w:val="00F10448"/>
    <w:rsid w:val="00F1195A"/>
    <w:rsid w:val="00F11E9B"/>
    <w:rsid w:val="00F201DE"/>
    <w:rsid w:val="00F20A47"/>
    <w:rsid w:val="00F22641"/>
    <w:rsid w:val="00F27D66"/>
    <w:rsid w:val="00F3082D"/>
    <w:rsid w:val="00F31686"/>
    <w:rsid w:val="00F318DD"/>
    <w:rsid w:val="00F3488F"/>
    <w:rsid w:val="00F37299"/>
    <w:rsid w:val="00F41AB3"/>
    <w:rsid w:val="00F42597"/>
    <w:rsid w:val="00F42E96"/>
    <w:rsid w:val="00F44179"/>
    <w:rsid w:val="00F44588"/>
    <w:rsid w:val="00F45A78"/>
    <w:rsid w:val="00F5045B"/>
    <w:rsid w:val="00F51276"/>
    <w:rsid w:val="00F516C5"/>
    <w:rsid w:val="00F52B34"/>
    <w:rsid w:val="00F53A64"/>
    <w:rsid w:val="00F55471"/>
    <w:rsid w:val="00F55A37"/>
    <w:rsid w:val="00F57F07"/>
    <w:rsid w:val="00F6052B"/>
    <w:rsid w:val="00F60C57"/>
    <w:rsid w:val="00F6114E"/>
    <w:rsid w:val="00F62269"/>
    <w:rsid w:val="00F62D66"/>
    <w:rsid w:val="00F6358A"/>
    <w:rsid w:val="00F65A58"/>
    <w:rsid w:val="00F65BD5"/>
    <w:rsid w:val="00F703AB"/>
    <w:rsid w:val="00F704AD"/>
    <w:rsid w:val="00F7264B"/>
    <w:rsid w:val="00F7673B"/>
    <w:rsid w:val="00F810F3"/>
    <w:rsid w:val="00F82143"/>
    <w:rsid w:val="00F84076"/>
    <w:rsid w:val="00F87880"/>
    <w:rsid w:val="00F91ECF"/>
    <w:rsid w:val="00F92036"/>
    <w:rsid w:val="00F922D0"/>
    <w:rsid w:val="00F92AB7"/>
    <w:rsid w:val="00F92CFE"/>
    <w:rsid w:val="00F93D15"/>
    <w:rsid w:val="00F9409B"/>
    <w:rsid w:val="00F960D0"/>
    <w:rsid w:val="00F973AE"/>
    <w:rsid w:val="00FA1A78"/>
    <w:rsid w:val="00FA2E2A"/>
    <w:rsid w:val="00FA3AD3"/>
    <w:rsid w:val="00FA6247"/>
    <w:rsid w:val="00FA67B6"/>
    <w:rsid w:val="00FB0020"/>
    <w:rsid w:val="00FB44CF"/>
    <w:rsid w:val="00FB586B"/>
    <w:rsid w:val="00FB5D8C"/>
    <w:rsid w:val="00FC10E2"/>
    <w:rsid w:val="00FC22C7"/>
    <w:rsid w:val="00FC23E3"/>
    <w:rsid w:val="00FC34A5"/>
    <w:rsid w:val="00FC41E7"/>
    <w:rsid w:val="00FC544C"/>
    <w:rsid w:val="00FC59B8"/>
    <w:rsid w:val="00FD0F60"/>
    <w:rsid w:val="00FD21C9"/>
    <w:rsid w:val="00FD4BFB"/>
    <w:rsid w:val="00FD4FCE"/>
    <w:rsid w:val="00FD5F28"/>
    <w:rsid w:val="00FD6972"/>
    <w:rsid w:val="00FD7C72"/>
    <w:rsid w:val="00FE05A9"/>
    <w:rsid w:val="00FE3006"/>
    <w:rsid w:val="00FE3B0F"/>
    <w:rsid w:val="00FE59B5"/>
    <w:rsid w:val="00FE5A0F"/>
    <w:rsid w:val="00FE6271"/>
    <w:rsid w:val="00FF1CDC"/>
    <w:rsid w:val="00FF29AE"/>
    <w:rsid w:val="00FF3054"/>
    <w:rsid w:val="00FF34D2"/>
    <w:rsid w:val="00FF4966"/>
    <w:rsid w:val="00FF60FD"/>
    <w:rsid w:val="00FF6887"/>
    <w:rsid w:val="00FF69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9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2019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2019B"/>
    <w:rPr>
      <w:sz w:val="18"/>
      <w:szCs w:val="18"/>
    </w:rPr>
  </w:style>
  <w:style w:type="paragraph" w:styleId="a4">
    <w:name w:val="footer"/>
    <w:basedOn w:val="a"/>
    <w:link w:val="Char0"/>
    <w:uiPriority w:val="99"/>
    <w:semiHidden/>
    <w:unhideWhenUsed/>
    <w:rsid w:val="0032019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2019B"/>
    <w:rPr>
      <w:sz w:val="18"/>
      <w:szCs w:val="18"/>
    </w:rPr>
  </w:style>
  <w:style w:type="character" w:styleId="a5">
    <w:name w:val="Hyperlink"/>
    <w:basedOn w:val="a0"/>
    <w:uiPriority w:val="99"/>
    <w:rsid w:val="0032019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390</Words>
  <Characters>2223</Characters>
  <Application>Microsoft Office Word</Application>
  <DocSecurity>0</DocSecurity>
  <Lines>18</Lines>
  <Paragraphs>5</Paragraphs>
  <ScaleCrop>false</ScaleCrop>
  <Company>Microsoft</Company>
  <LinksUpToDate>false</LinksUpToDate>
  <CharactersWithSpaces>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王雪峰</dc:creator>
  <cp:keywords/>
  <dc:description/>
  <cp:lastModifiedBy>王雪峰</cp:lastModifiedBy>
  <cp:revision>9</cp:revision>
  <dcterms:created xsi:type="dcterms:W3CDTF">2017-11-17T02:46:00Z</dcterms:created>
  <dcterms:modified xsi:type="dcterms:W3CDTF">2017-11-17T03:50:00Z</dcterms:modified>
</cp:coreProperties>
</file>