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FF2" w:rsidRPr="00875FF2" w:rsidRDefault="00875FF2" w:rsidP="00875FF2">
      <w:pPr>
        <w:snapToGrid w:val="0"/>
        <w:spacing w:beforeLines="50" w:afterLines="50"/>
        <w:jc w:val="center"/>
        <w:rPr>
          <w:rFonts w:asciiTheme="minorEastAsia" w:eastAsiaTheme="minorEastAsia" w:hAnsiTheme="minorEastAsia" w:hint="eastAsia"/>
          <w:spacing w:val="-4"/>
          <w:sz w:val="24"/>
          <w:szCs w:val="21"/>
        </w:rPr>
      </w:pPr>
      <w:r w:rsidRPr="00875FF2">
        <w:rPr>
          <w:rFonts w:asciiTheme="minorEastAsia" w:eastAsiaTheme="minorEastAsia" w:hAnsiTheme="minorEastAsia" w:hint="eastAsia"/>
          <w:spacing w:val="-4"/>
          <w:sz w:val="24"/>
          <w:szCs w:val="21"/>
        </w:rPr>
        <w:t>正确理解法律法规要求保证遵纪守法的实现案例</w:t>
      </w:r>
    </w:p>
    <w:p w:rsidR="00875FF2" w:rsidRPr="00875FF2" w:rsidRDefault="00875FF2" w:rsidP="00875FF2">
      <w:pPr>
        <w:snapToGrid w:val="0"/>
        <w:spacing w:beforeLines="50" w:afterLines="50"/>
        <w:jc w:val="center"/>
        <w:rPr>
          <w:rFonts w:asciiTheme="minorEastAsia" w:eastAsiaTheme="minorEastAsia" w:hAnsiTheme="minorEastAsia" w:hint="eastAsia"/>
          <w:spacing w:val="-4"/>
          <w:sz w:val="24"/>
          <w:szCs w:val="21"/>
        </w:rPr>
      </w:pPr>
      <w:r w:rsidRPr="00875FF2">
        <w:rPr>
          <w:rFonts w:asciiTheme="minorEastAsia" w:eastAsiaTheme="minorEastAsia" w:hAnsiTheme="minorEastAsia" w:hint="eastAsia"/>
          <w:sz w:val="24"/>
        </w:rPr>
        <w:t>倪红兵</w:t>
      </w:r>
    </w:p>
    <w:p w:rsidR="00875FF2" w:rsidRPr="00875FF2" w:rsidRDefault="00875FF2" w:rsidP="00875FF2">
      <w:pPr>
        <w:snapToGrid w:val="0"/>
        <w:spacing w:beforeLines="50" w:afterLines="50"/>
        <w:rPr>
          <w:rFonts w:asciiTheme="minorEastAsia" w:eastAsiaTheme="minorEastAsia" w:hAnsiTheme="minorEastAsia" w:hint="eastAsia"/>
          <w:spacing w:val="-4"/>
          <w:sz w:val="24"/>
          <w:szCs w:val="21"/>
        </w:rPr>
      </w:pP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无论是实施GB/T19001质量管理体系、GB/T24001环境管理体系还是GB/T28001职业健康安全管理体系，都要求企业做到遵纪守法、守法经营、满足顾客和相关方的合理合法要求，遵纪守法的前提就是要充分了解与自身生产经营相关的法律法规和其他要求，将法律法规和其他要求融入自身的工作中实施管理，才是保证遵纪守法的基础。</w:t>
      </w:r>
    </w:p>
    <w:p w:rsidR="00875FF2" w:rsidRPr="00875FF2" w:rsidRDefault="00875FF2" w:rsidP="00875FF2">
      <w:pPr>
        <w:snapToGrid w:val="0"/>
        <w:spacing w:beforeLines="50" w:afterLines="50"/>
        <w:rPr>
          <w:rFonts w:asciiTheme="minorEastAsia" w:eastAsiaTheme="minorEastAsia" w:hAnsiTheme="minorEastAsia" w:hint="eastAsia"/>
          <w:b/>
          <w:snapToGrid w:val="0"/>
          <w:kern w:val="0"/>
          <w:sz w:val="24"/>
          <w:lang w:val="en-GB"/>
        </w:rPr>
      </w:pPr>
      <w:r w:rsidRPr="00875FF2">
        <w:rPr>
          <w:rFonts w:asciiTheme="minorEastAsia" w:eastAsiaTheme="minorEastAsia" w:hAnsiTheme="minorEastAsia" w:hint="eastAsia"/>
          <w:b/>
          <w:snapToGrid w:val="0"/>
          <w:kern w:val="0"/>
          <w:sz w:val="24"/>
          <w:lang w:val="en-GB"/>
        </w:rPr>
        <w:t>案例</w:t>
      </w:r>
      <w:proofErr w:type="gramStart"/>
      <w:r w:rsidRPr="00875FF2">
        <w:rPr>
          <w:rFonts w:asciiTheme="minorEastAsia" w:eastAsiaTheme="minorEastAsia" w:hAnsiTheme="minorEastAsia" w:hint="eastAsia"/>
          <w:b/>
          <w:snapToGrid w:val="0"/>
          <w:kern w:val="0"/>
          <w:sz w:val="24"/>
          <w:lang w:val="en-GB"/>
        </w:rPr>
        <w:t>一</w:t>
      </w:r>
      <w:proofErr w:type="gramEnd"/>
      <w:r w:rsidRPr="00875FF2">
        <w:rPr>
          <w:rFonts w:asciiTheme="minorEastAsia" w:eastAsiaTheme="minorEastAsia" w:hAnsiTheme="minorEastAsia" w:hint="eastAsia"/>
          <w:b/>
          <w:snapToGrid w:val="0"/>
          <w:kern w:val="0"/>
          <w:sz w:val="24"/>
          <w:lang w:val="en-GB"/>
        </w:rPr>
        <w:t>.《锅炉压力容器使用登记管理办法》</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《锅炉压力容器使用登记管理办法》第二十三条规定“锅炉压力容器过户并在原登记机关行政区域内移装的新使用单位应当在投入使用前或者投入使用后30日内持全部移交文件和</w:t>
      </w:r>
      <w:proofErr w:type="gramStart"/>
      <w:r w:rsidRPr="00875FF2">
        <w:rPr>
          <w:rFonts w:asciiTheme="minorEastAsia" w:eastAsiaTheme="minorEastAsia" w:hAnsiTheme="minorEastAsia" w:hint="eastAsia"/>
          <w:snapToGrid w:val="0"/>
          <w:kern w:val="0"/>
          <w:sz w:val="24"/>
          <w:lang w:val="en-GB"/>
        </w:rPr>
        <w:t>移装后</w:t>
      </w:r>
      <w:proofErr w:type="gramEnd"/>
      <w:r w:rsidRPr="00875FF2">
        <w:rPr>
          <w:rFonts w:asciiTheme="minorEastAsia" w:eastAsiaTheme="minorEastAsia" w:hAnsiTheme="minorEastAsia" w:hint="eastAsia"/>
          <w:snapToGrid w:val="0"/>
          <w:kern w:val="0"/>
          <w:sz w:val="24"/>
          <w:lang w:val="en-GB"/>
        </w:rPr>
        <w:t>的安装监督检验报告向原登记机关申请变更登记领取使用登记证”。</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某化工企业购买了别的企业更换下来的“二手”锅炉，但缺少该锅炉的原登记文件，原因是锅炉使用多年原登记资料找不到了，结果导致无法重新登记，只能 “无证使用”，不符合上述规定要求，存在违法情况和重大安全隐患，也不符合GB/T19001-2008标准6.3条款、GB/T24001-2004标准4.4.6条款和GB/T28001-2011标准4.4.6条款的相关要求。</w:t>
      </w:r>
    </w:p>
    <w:p w:rsidR="00875FF2" w:rsidRPr="00875FF2" w:rsidRDefault="00875FF2" w:rsidP="00875FF2">
      <w:pPr>
        <w:snapToGrid w:val="0"/>
        <w:spacing w:beforeLines="50" w:afterLines="50"/>
        <w:rPr>
          <w:rFonts w:asciiTheme="minorEastAsia" w:eastAsiaTheme="minorEastAsia" w:hAnsiTheme="minorEastAsia" w:hint="eastAsia"/>
          <w:b/>
          <w:snapToGrid w:val="0"/>
          <w:kern w:val="0"/>
          <w:sz w:val="24"/>
          <w:lang w:val="en-GB"/>
        </w:rPr>
      </w:pPr>
      <w:r w:rsidRPr="00875FF2">
        <w:rPr>
          <w:rFonts w:asciiTheme="minorEastAsia" w:eastAsiaTheme="minorEastAsia" w:hAnsiTheme="minorEastAsia" w:hint="eastAsia"/>
          <w:b/>
          <w:snapToGrid w:val="0"/>
          <w:kern w:val="0"/>
          <w:sz w:val="24"/>
          <w:lang w:val="en-GB"/>
        </w:rPr>
        <w:t>案例二.《锅炉压力容器使用登记管理办法》</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锅炉压力容器使用登记管理办法》第三十五条规定“安全状况等级为4级的固定式压力容器一般不得继续使用。使用单位无法立即更换或者修理的应当持定期检验报告、安全等级划分证明和使用登记证、向登记机关申请临时监控使用”。</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某企业的一台压力储罐的委外检验结果表明其安全状况等级为4级，但企业由于生产原因无法立即更换或停用，计划在大修时更换，但未向登记机关申请临时监控使用，不符合上述规定要求，也不符合GB/T19001-2008标准6.3条款、GB/T24001-2004标准4.4.6条款和GB/T28001-2011标准4.4.6条款的相关要求。</w:t>
      </w:r>
    </w:p>
    <w:p w:rsidR="00875FF2" w:rsidRPr="00875FF2" w:rsidRDefault="00875FF2" w:rsidP="00875FF2">
      <w:pPr>
        <w:snapToGrid w:val="0"/>
        <w:spacing w:beforeLines="50" w:afterLines="50"/>
        <w:rPr>
          <w:rFonts w:asciiTheme="minorEastAsia" w:eastAsiaTheme="minorEastAsia" w:hAnsiTheme="minorEastAsia" w:hint="eastAsia"/>
          <w:b/>
          <w:snapToGrid w:val="0"/>
          <w:kern w:val="0"/>
          <w:sz w:val="24"/>
          <w:lang w:val="en-GB"/>
        </w:rPr>
      </w:pPr>
      <w:r w:rsidRPr="00875FF2">
        <w:rPr>
          <w:rFonts w:asciiTheme="minorEastAsia" w:eastAsiaTheme="minorEastAsia" w:hAnsiTheme="minorEastAsia" w:hint="eastAsia"/>
          <w:b/>
          <w:snapToGrid w:val="0"/>
          <w:kern w:val="0"/>
          <w:sz w:val="24"/>
          <w:lang w:val="en-GB"/>
        </w:rPr>
        <w:t>案例三.《TSG R0005-2011 移动式压力容器安全技术监察规程》</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《TSG R0005-2011 移动式压力容器安全技术监察规程》第9.9 条规定了阻火器的安装要求“阻火器与管路的连接应当采用螺纹或者法兰的连接形式”。</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某化工企业的产品罐车属于移动式压力容器，</w:t>
      </w:r>
      <w:proofErr w:type="gramStart"/>
      <w:r w:rsidRPr="00875FF2">
        <w:rPr>
          <w:rFonts w:asciiTheme="minorEastAsia" w:eastAsiaTheme="minorEastAsia" w:hAnsiTheme="minorEastAsia" w:hint="eastAsia"/>
          <w:snapToGrid w:val="0"/>
          <w:kern w:val="0"/>
          <w:sz w:val="24"/>
          <w:lang w:val="en-GB"/>
        </w:rPr>
        <w:t>单其在</w:t>
      </w:r>
      <w:proofErr w:type="gramEnd"/>
      <w:r w:rsidRPr="00875FF2">
        <w:rPr>
          <w:rFonts w:asciiTheme="minorEastAsia" w:eastAsiaTheme="minorEastAsia" w:hAnsiTheme="minorEastAsia" w:hint="eastAsia"/>
          <w:snapToGrid w:val="0"/>
          <w:kern w:val="0"/>
          <w:sz w:val="24"/>
          <w:lang w:val="en-GB"/>
        </w:rPr>
        <w:t>厂区内安装的阻火器只是套在排气管路上，未采用螺纹或者法兰的连接形式，不符合上述标准的要求，存在安全隐患，也不符合GB/T24001-2004标准4.4.6条款和GB/T28001-2011标准4.4.6条款的相关要求。</w:t>
      </w:r>
    </w:p>
    <w:p w:rsidR="00875FF2" w:rsidRPr="00875FF2" w:rsidRDefault="00875FF2" w:rsidP="00875FF2">
      <w:pPr>
        <w:snapToGrid w:val="0"/>
        <w:spacing w:beforeLines="50" w:afterLines="50"/>
        <w:rPr>
          <w:rFonts w:asciiTheme="minorEastAsia" w:eastAsiaTheme="minorEastAsia" w:hAnsiTheme="minorEastAsia" w:hint="eastAsia"/>
          <w:b/>
          <w:snapToGrid w:val="0"/>
          <w:kern w:val="0"/>
          <w:sz w:val="24"/>
          <w:lang w:val="en-GB"/>
        </w:rPr>
      </w:pPr>
      <w:r w:rsidRPr="00875FF2">
        <w:rPr>
          <w:rFonts w:asciiTheme="minorEastAsia" w:eastAsiaTheme="minorEastAsia" w:hAnsiTheme="minorEastAsia" w:hint="eastAsia"/>
          <w:b/>
          <w:snapToGrid w:val="0"/>
          <w:kern w:val="0"/>
          <w:sz w:val="24"/>
          <w:lang w:val="en-GB"/>
        </w:rPr>
        <w:t>案例四.《TSG R0005-2011 移动式压力容器安全技术监察规程》</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《TSG R0005-2011 移动式压力容器安全技术监察规程》第9.10 条规定了移动式压力容器导静电装置的要求“（1）充装易燃、易爆介质的移动式压力容器(铁路罐车除外)，必须装设可靠的导静电接地装置；（2）移动式压力容器在停车和装卸作业时，必须接地良好，严禁使用铁链、铁线等金属替代接地装置；（3）罐体与接地导线末端之间的电阻值应当符合引用标准的规定”。</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某企业对于自有的LPG罐车用铁链作为接地装置，也未测试罐体与接地导线末端之间的电阻值，不符合上述标准的要求，存在重大安全隐患，也不符合GB/T24001-2004标准4.4.6条款和GB/T28001-2011标准4.4.6条款的相关要求。</w:t>
      </w:r>
    </w:p>
    <w:p w:rsidR="00875FF2" w:rsidRPr="00875FF2" w:rsidRDefault="00875FF2" w:rsidP="00875FF2">
      <w:pPr>
        <w:snapToGrid w:val="0"/>
        <w:spacing w:beforeLines="50" w:afterLines="50"/>
        <w:rPr>
          <w:rFonts w:asciiTheme="minorEastAsia" w:eastAsiaTheme="minorEastAsia" w:hAnsiTheme="minorEastAsia" w:hint="eastAsia"/>
          <w:b/>
          <w:snapToGrid w:val="0"/>
          <w:kern w:val="0"/>
          <w:sz w:val="24"/>
          <w:lang w:val="en-GB"/>
        </w:rPr>
      </w:pPr>
      <w:r w:rsidRPr="00875FF2">
        <w:rPr>
          <w:rFonts w:asciiTheme="minorEastAsia" w:eastAsiaTheme="minorEastAsia" w:hAnsiTheme="minorEastAsia" w:hint="eastAsia"/>
          <w:b/>
          <w:snapToGrid w:val="0"/>
          <w:kern w:val="0"/>
          <w:sz w:val="24"/>
          <w:lang w:val="en-GB"/>
        </w:rPr>
        <w:lastRenderedPageBreak/>
        <w:t>案例五.《TSG R0005-2011 移动式压力容器安全技术监察规程》</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《TSG R0005-2011 移动式压力容器安全技术监察规程》第B2.3 条规定“汽车罐车应当设置后保险杠，后保险杠外端面距罐体后封头及所有与罐体后部连接的管路、阀门、仪表、法兰等附件的外端面的纵向直线距离不小于150mm”。</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proofErr w:type="gramStart"/>
      <w:r w:rsidRPr="00875FF2">
        <w:rPr>
          <w:rFonts w:asciiTheme="minorEastAsia" w:eastAsiaTheme="minorEastAsia" w:hAnsiTheme="minorEastAsia" w:hint="eastAsia"/>
          <w:snapToGrid w:val="0"/>
          <w:kern w:val="0"/>
          <w:sz w:val="24"/>
          <w:lang w:val="en-GB"/>
        </w:rPr>
        <w:t>某危化品运输</w:t>
      </w:r>
      <w:proofErr w:type="gramEnd"/>
      <w:r w:rsidRPr="00875FF2">
        <w:rPr>
          <w:rFonts w:asciiTheme="minorEastAsia" w:eastAsiaTheme="minorEastAsia" w:hAnsiTheme="minorEastAsia" w:hint="eastAsia"/>
          <w:snapToGrid w:val="0"/>
          <w:kern w:val="0"/>
          <w:sz w:val="24"/>
          <w:lang w:val="en-GB"/>
        </w:rPr>
        <w:t>企业的汽车罐车的后保险杠外端面距罐体后封头及所有与罐体后部连接的管路、阀门、仪表、法兰等附件的外端面的纵向直线距离只有约95mm，不符合上述标准要求，存在安全隐患，也不符合GB/T24001-2004标准4.4.6条款和GB/T28001-2011标准4.4.6条款的相关要求。</w:t>
      </w:r>
    </w:p>
    <w:p w:rsidR="00875FF2" w:rsidRPr="00875FF2" w:rsidRDefault="00875FF2" w:rsidP="00875FF2">
      <w:pPr>
        <w:snapToGrid w:val="0"/>
        <w:spacing w:beforeLines="50" w:afterLines="50"/>
        <w:rPr>
          <w:rFonts w:asciiTheme="minorEastAsia" w:eastAsiaTheme="minorEastAsia" w:hAnsiTheme="minorEastAsia" w:hint="eastAsia"/>
          <w:b/>
          <w:snapToGrid w:val="0"/>
          <w:kern w:val="0"/>
          <w:sz w:val="24"/>
          <w:lang w:val="en-GB"/>
        </w:rPr>
      </w:pPr>
      <w:r w:rsidRPr="00875FF2">
        <w:rPr>
          <w:rFonts w:asciiTheme="minorEastAsia" w:eastAsiaTheme="minorEastAsia" w:hAnsiTheme="minorEastAsia" w:hint="eastAsia"/>
          <w:b/>
          <w:snapToGrid w:val="0"/>
          <w:kern w:val="0"/>
          <w:sz w:val="24"/>
          <w:lang w:val="en-GB"/>
        </w:rPr>
        <w:t>案例六.《热水锅炉安全技术监察规程》</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热水锅炉安全技术监察规程》适用范围包括电加热热水锅炉和锅炉范围内管道。第2条规定“本规程适用于同时符合下列条件的以水为介质的固定式热水锅炉：1.额定热功率大于或等于0.1MW，2.额定出水压力大于或等于0.1Mpa（表压)”。</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某机加工厂使用的一台电加热热水锅炉，但查其技术资料显示该电加热热水锅炉的额定热功率0.2MW、额定出水压力0.4Mpa（</w:t>
      </w:r>
      <w:proofErr w:type="gramStart"/>
      <w:r w:rsidRPr="00875FF2">
        <w:rPr>
          <w:rFonts w:asciiTheme="minorEastAsia" w:eastAsiaTheme="minorEastAsia" w:hAnsiTheme="minorEastAsia" w:hint="eastAsia"/>
          <w:snapToGrid w:val="0"/>
          <w:kern w:val="0"/>
          <w:sz w:val="24"/>
          <w:lang w:val="en-GB"/>
        </w:rPr>
        <w:t>表压</w:t>
      </w:r>
      <w:proofErr w:type="gramEnd"/>
      <w:r w:rsidRPr="00875FF2">
        <w:rPr>
          <w:rFonts w:asciiTheme="minorEastAsia" w:eastAsiaTheme="minorEastAsia" w:hAnsiTheme="minorEastAsia" w:hint="eastAsia"/>
          <w:snapToGrid w:val="0"/>
          <w:kern w:val="0"/>
          <w:sz w:val="24"/>
          <w:lang w:val="en-GB"/>
        </w:rPr>
        <w:t>)，自认为是电加热锅炉，不使用燃气、不产生高温高压蒸汽，没有多少危险，因此未按照压力容器进行使用登记，不符合《锅炉压力容器使用登记管理办法》的要求，也不符合GB/T24001-2004标准4.4.6条款和GB/T28001-2011标准4.4.6条款的相关要求。</w:t>
      </w:r>
    </w:p>
    <w:p w:rsidR="00875FF2" w:rsidRPr="00875FF2" w:rsidRDefault="00875FF2" w:rsidP="00875FF2">
      <w:pPr>
        <w:snapToGrid w:val="0"/>
        <w:spacing w:beforeLines="50" w:afterLines="50"/>
        <w:rPr>
          <w:rFonts w:asciiTheme="minorEastAsia" w:eastAsiaTheme="minorEastAsia" w:hAnsiTheme="minorEastAsia" w:hint="eastAsia"/>
          <w:b/>
          <w:snapToGrid w:val="0"/>
          <w:kern w:val="0"/>
          <w:sz w:val="24"/>
          <w:lang w:val="en-GB"/>
        </w:rPr>
      </w:pPr>
      <w:proofErr w:type="gramStart"/>
      <w:r w:rsidRPr="00875FF2">
        <w:rPr>
          <w:rFonts w:asciiTheme="minorEastAsia" w:eastAsiaTheme="minorEastAsia" w:hAnsiTheme="minorEastAsia" w:hint="eastAsia"/>
          <w:b/>
          <w:snapToGrid w:val="0"/>
          <w:kern w:val="0"/>
          <w:sz w:val="24"/>
          <w:lang w:val="en-GB"/>
        </w:rPr>
        <w:t>案例七</w:t>
      </w:r>
      <w:proofErr w:type="gramEnd"/>
      <w:r w:rsidRPr="00875FF2">
        <w:rPr>
          <w:rFonts w:asciiTheme="minorEastAsia" w:eastAsiaTheme="minorEastAsia" w:hAnsiTheme="minorEastAsia" w:hint="eastAsia"/>
          <w:b/>
          <w:snapToGrid w:val="0"/>
          <w:kern w:val="0"/>
          <w:sz w:val="24"/>
          <w:lang w:val="en-GB"/>
        </w:rPr>
        <w:t>.《热水锅炉安全技术监察规程》</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《热水锅炉安全技术监察规程》第104条规定“锅炉在运行中安全阀应定期进行手动排放试验。锅炉停用后又启用时安全阀也应进行手动排放试验”。</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许多企业虽然定期委托有资质的单位检验属于特种设备的热水锅炉及其安全附件安全阀，但并不在锅炉运行中定期对安全阀进行手动排放试验，不符合上述法规要求，也不符合GB/T19001-2008标准6.3条款、GB/T24001-2004标准4.4.6条款和GB/T28001-2011标准4.4.6条款的相关要求。究其原因是未收集和不了解《热水锅炉安全技术监察规程》，不符合GB/T24001-2004标准和GB/T28001-2011标准4.3.2条款的相关要求。</w:t>
      </w:r>
    </w:p>
    <w:p w:rsidR="00875FF2" w:rsidRPr="00875FF2" w:rsidRDefault="00875FF2" w:rsidP="00875FF2">
      <w:pPr>
        <w:snapToGrid w:val="0"/>
        <w:spacing w:beforeLines="50" w:afterLines="50"/>
        <w:rPr>
          <w:rFonts w:asciiTheme="minorEastAsia" w:eastAsiaTheme="minorEastAsia" w:hAnsiTheme="minorEastAsia" w:hint="eastAsia"/>
          <w:b/>
          <w:snapToGrid w:val="0"/>
          <w:kern w:val="0"/>
          <w:sz w:val="24"/>
          <w:lang w:val="en-GB"/>
        </w:rPr>
      </w:pPr>
      <w:proofErr w:type="gramStart"/>
      <w:r w:rsidRPr="00875FF2">
        <w:rPr>
          <w:rFonts w:asciiTheme="minorEastAsia" w:eastAsiaTheme="minorEastAsia" w:hAnsiTheme="minorEastAsia" w:hint="eastAsia"/>
          <w:b/>
          <w:snapToGrid w:val="0"/>
          <w:kern w:val="0"/>
          <w:sz w:val="24"/>
          <w:lang w:val="en-GB"/>
        </w:rPr>
        <w:t>案例八</w:t>
      </w:r>
      <w:proofErr w:type="gramEnd"/>
      <w:r w:rsidRPr="00875FF2">
        <w:rPr>
          <w:rFonts w:asciiTheme="minorEastAsia" w:eastAsiaTheme="minorEastAsia" w:hAnsiTheme="minorEastAsia" w:hint="eastAsia"/>
          <w:b/>
          <w:snapToGrid w:val="0"/>
          <w:kern w:val="0"/>
          <w:sz w:val="24"/>
          <w:lang w:val="en-GB"/>
        </w:rPr>
        <w:t>.《TSG R0001-2004非金属压力容器安全技术监察规程》</w:t>
      </w:r>
    </w:p>
    <w:p w:rsidR="00875FF2" w:rsidRPr="00875FF2" w:rsidRDefault="00875FF2" w:rsidP="00875FF2">
      <w:pPr>
        <w:snapToGrid w:val="0"/>
        <w:spacing w:beforeLines="50" w:afterLines="50"/>
        <w:ind w:firstLineChars="200" w:firstLine="480"/>
        <w:rPr>
          <w:rFonts w:asciiTheme="minorEastAsia" w:eastAsiaTheme="minorEastAsia" w:hAnsiTheme="minorEastAsia" w:hint="eastAsia"/>
          <w:snapToGrid w:val="0"/>
          <w:kern w:val="0"/>
          <w:sz w:val="24"/>
          <w:lang w:val="en-GB"/>
        </w:rPr>
      </w:pPr>
      <w:r w:rsidRPr="00875FF2">
        <w:rPr>
          <w:rFonts w:asciiTheme="minorEastAsia" w:eastAsiaTheme="minorEastAsia" w:hAnsiTheme="minorEastAsia" w:hint="eastAsia"/>
          <w:snapToGrid w:val="0"/>
          <w:kern w:val="0"/>
          <w:sz w:val="24"/>
          <w:lang w:val="en-GB"/>
        </w:rPr>
        <w:t>《TSG R0001-2004非金属压力容器安全技术监察规程》第七十八条规定“非金属压力容器投用后首次内外部检验周期为1年”。</w:t>
      </w:r>
    </w:p>
    <w:p w:rsidR="00F62D66" w:rsidRPr="00875FF2" w:rsidRDefault="00875FF2" w:rsidP="00875FF2">
      <w:pPr>
        <w:snapToGrid w:val="0"/>
        <w:spacing w:beforeLines="50" w:afterLines="50"/>
        <w:ind w:firstLineChars="200" w:firstLine="480"/>
        <w:rPr>
          <w:rFonts w:asciiTheme="minorEastAsia" w:eastAsiaTheme="minorEastAsia" w:hAnsiTheme="minorEastAsia"/>
          <w:snapToGrid w:val="0"/>
          <w:kern w:val="0"/>
          <w:sz w:val="24"/>
          <w:lang w:val="en-GB"/>
        </w:rPr>
      </w:pPr>
      <w:r w:rsidRPr="00875FF2">
        <w:rPr>
          <w:rFonts w:asciiTheme="minorEastAsia" w:eastAsiaTheme="minorEastAsia" w:hAnsiTheme="minorEastAsia" w:hint="eastAsia"/>
          <w:snapToGrid w:val="0"/>
          <w:kern w:val="0"/>
          <w:sz w:val="24"/>
          <w:lang w:val="en-GB"/>
        </w:rPr>
        <w:t>某企业的石墨</w:t>
      </w:r>
      <w:proofErr w:type="gramStart"/>
      <w:r w:rsidRPr="00875FF2">
        <w:rPr>
          <w:rFonts w:asciiTheme="minorEastAsia" w:eastAsiaTheme="minorEastAsia" w:hAnsiTheme="minorEastAsia" w:hint="eastAsia"/>
          <w:snapToGrid w:val="0"/>
          <w:kern w:val="0"/>
          <w:sz w:val="24"/>
          <w:lang w:val="en-GB"/>
        </w:rPr>
        <w:t>制压力</w:t>
      </w:r>
      <w:proofErr w:type="gramEnd"/>
      <w:r w:rsidRPr="00875FF2">
        <w:rPr>
          <w:rFonts w:asciiTheme="minorEastAsia" w:eastAsiaTheme="minorEastAsia" w:hAnsiTheme="minorEastAsia" w:hint="eastAsia"/>
          <w:snapToGrid w:val="0"/>
          <w:kern w:val="0"/>
          <w:sz w:val="24"/>
          <w:lang w:val="en-GB"/>
        </w:rPr>
        <w:t>容器在投用后1年内进行的首次委外检验只进行了内部检验、缺少外部检验，不符合上述标准的要求，合GB/T19001-2008标准6.3条款、GB/T24001-2004标准和GB/T28001-2011标准4.5.1条款的相关要求。</w:t>
      </w:r>
    </w:p>
    <w:sectPr w:rsidR="00F62D66" w:rsidRPr="00875FF2"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656" w:rsidRDefault="00A91656" w:rsidP="0032019B">
      <w:r>
        <w:separator/>
      </w:r>
    </w:p>
  </w:endnote>
  <w:endnote w:type="continuationSeparator" w:id="0">
    <w:p w:rsidR="00A91656" w:rsidRDefault="00A91656" w:rsidP="00320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656" w:rsidRDefault="00A91656" w:rsidP="0032019B">
      <w:r>
        <w:separator/>
      </w:r>
    </w:p>
  </w:footnote>
  <w:footnote w:type="continuationSeparator" w:id="0">
    <w:p w:rsidR="00A91656" w:rsidRDefault="00A91656" w:rsidP="00320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221C5"/>
    <w:rsid w:val="00022AEA"/>
    <w:rsid w:val="000237B3"/>
    <w:rsid w:val="00023B9D"/>
    <w:rsid w:val="00023FFC"/>
    <w:rsid w:val="00024028"/>
    <w:rsid w:val="00024B56"/>
    <w:rsid w:val="0004189D"/>
    <w:rsid w:val="000441F0"/>
    <w:rsid w:val="00045C2C"/>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34F"/>
    <w:rsid w:val="001645A2"/>
    <w:rsid w:val="001668E5"/>
    <w:rsid w:val="001675D3"/>
    <w:rsid w:val="00174B22"/>
    <w:rsid w:val="00177897"/>
    <w:rsid w:val="001825CC"/>
    <w:rsid w:val="00182791"/>
    <w:rsid w:val="00183775"/>
    <w:rsid w:val="0018379A"/>
    <w:rsid w:val="00184916"/>
    <w:rsid w:val="00185180"/>
    <w:rsid w:val="00190E7D"/>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B47"/>
    <w:rsid w:val="003A4344"/>
    <w:rsid w:val="003A55B5"/>
    <w:rsid w:val="003A62CB"/>
    <w:rsid w:val="003A791E"/>
    <w:rsid w:val="003B3E3B"/>
    <w:rsid w:val="003B5A30"/>
    <w:rsid w:val="003B76D1"/>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4A5"/>
    <w:rsid w:val="00473F4A"/>
    <w:rsid w:val="004743A4"/>
    <w:rsid w:val="00474883"/>
    <w:rsid w:val="004757BE"/>
    <w:rsid w:val="00480119"/>
    <w:rsid w:val="004819A4"/>
    <w:rsid w:val="0048227B"/>
    <w:rsid w:val="0048423C"/>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9126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F99"/>
    <w:rsid w:val="008B5388"/>
    <w:rsid w:val="008C0384"/>
    <w:rsid w:val="008C0C1F"/>
    <w:rsid w:val="008C1DB1"/>
    <w:rsid w:val="008C2200"/>
    <w:rsid w:val="008C23BD"/>
    <w:rsid w:val="008C35DF"/>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12DA"/>
    <w:rsid w:val="00C5448D"/>
    <w:rsid w:val="00C55081"/>
    <w:rsid w:val="00C5643F"/>
    <w:rsid w:val="00C57998"/>
    <w:rsid w:val="00C61BB7"/>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4F10"/>
    <w:rsid w:val="00D9003E"/>
    <w:rsid w:val="00D92489"/>
    <w:rsid w:val="00D9344B"/>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AD3"/>
    <w:rsid w:val="00FA6247"/>
    <w:rsid w:val="00FA67B6"/>
    <w:rsid w:val="00FB0020"/>
    <w:rsid w:val="00FB44C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2166</Characters>
  <Application>Microsoft Office Word</Application>
  <DocSecurity>0</DocSecurity>
  <Lines>18</Lines>
  <Paragraphs>5</Paragraphs>
  <ScaleCrop>false</ScaleCrop>
  <Company>Microsoft</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5</cp:revision>
  <dcterms:created xsi:type="dcterms:W3CDTF">2017-11-17T02:46:00Z</dcterms:created>
  <dcterms:modified xsi:type="dcterms:W3CDTF">2017-11-17T03:07:00Z</dcterms:modified>
</cp:coreProperties>
</file>